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2579" w14:textId="469B011D" w:rsidR="00BA4F30" w:rsidRPr="005D7B8F" w:rsidRDefault="005C1FBA" w:rsidP="005D7B8F">
      <w:pPr>
        <w:spacing w:before="120" w:after="0"/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14</w:t>
      </w:r>
      <w:r w:rsidR="005D7B8F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kwietnia</w:t>
      </w:r>
      <w:r w:rsidR="0037767B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2021</w:t>
      </w:r>
      <w:r w:rsidR="006F08E8">
        <w:rPr>
          <w:rFonts w:asciiTheme="majorHAnsi" w:hAnsiTheme="majorHAnsi" w:cstheme="majorHAnsi"/>
          <w:sz w:val="20"/>
        </w:rPr>
        <w:t xml:space="preserve"> r.</w:t>
      </w:r>
    </w:p>
    <w:p w14:paraId="34B60FEA" w14:textId="77777777" w:rsidR="001011B5" w:rsidRDefault="001011B5" w:rsidP="00657F7F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5BD3921" w14:textId="3FB50DFA" w:rsidR="0049437A" w:rsidRDefault="0049437A" w:rsidP="008076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Pandemia</w:t>
      </w:r>
      <w:r w:rsidR="00826BC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B137A">
        <w:rPr>
          <w:rFonts w:asciiTheme="majorHAnsi" w:hAnsiTheme="majorHAnsi" w:cstheme="majorHAnsi"/>
          <w:b/>
          <w:sz w:val="28"/>
          <w:szCs w:val="28"/>
        </w:rPr>
        <w:t xml:space="preserve">nie </w:t>
      </w:r>
      <w:r w:rsidR="00826BC6">
        <w:rPr>
          <w:rFonts w:asciiTheme="majorHAnsi" w:hAnsiTheme="majorHAnsi" w:cstheme="majorHAnsi"/>
          <w:b/>
          <w:sz w:val="28"/>
          <w:szCs w:val="28"/>
        </w:rPr>
        <w:t>była</w:t>
      </w:r>
      <w:r>
        <w:rPr>
          <w:rFonts w:asciiTheme="majorHAnsi" w:hAnsiTheme="majorHAnsi" w:cstheme="majorHAnsi"/>
          <w:b/>
          <w:sz w:val="28"/>
          <w:szCs w:val="28"/>
        </w:rPr>
        <w:t xml:space="preserve"> w stanie zatrzymać podwyżek cen mieszkań</w:t>
      </w:r>
    </w:p>
    <w:p w14:paraId="5CDC2209" w14:textId="77777777" w:rsidR="003A0E9B" w:rsidRPr="005D7B8F" w:rsidRDefault="003A0E9B" w:rsidP="003A0E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EE94BF0" w14:textId="426E2C86" w:rsidR="000539B6" w:rsidRPr="00D75AE9" w:rsidRDefault="00DF21E0" w:rsidP="000466E1">
      <w:pPr>
        <w:autoSpaceDE w:val="0"/>
        <w:autoSpaceDN w:val="0"/>
        <w:adjustRightInd w:val="0"/>
        <w:spacing w:before="120" w:after="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</w:t>
      </w:r>
      <w:r w:rsidRPr="00DF21E0">
        <w:rPr>
          <w:rFonts w:asciiTheme="majorHAnsi" w:hAnsiTheme="majorHAnsi" w:cstheme="majorHAnsi"/>
          <w:b/>
        </w:rPr>
        <w:t>imo problemów gospodarczych wywołanych pandemią i</w:t>
      </w:r>
      <w:r w:rsidR="00C961F5">
        <w:rPr>
          <w:rFonts w:asciiTheme="majorHAnsi" w:hAnsiTheme="majorHAnsi" w:cstheme="majorHAnsi"/>
          <w:b/>
        </w:rPr>
        <w:t xml:space="preserve"> początkowych</w:t>
      </w:r>
      <w:r w:rsidRPr="00DF21E0">
        <w:rPr>
          <w:rFonts w:asciiTheme="majorHAnsi" w:hAnsiTheme="majorHAnsi" w:cstheme="majorHAnsi"/>
          <w:b/>
        </w:rPr>
        <w:t xml:space="preserve"> perturbacji</w:t>
      </w:r>
      <w:r>
        <w:rPr>
          <w:rFonts w:asciiTheme="majorHAnsi" w:hAnsiTheme="majorHAnsi" w:cstheme="majorHAnsi"/>
          <w:b/>
        </w:rPr>
        <w:t xml:space="preserve"> na rynku nieruchomości, 2020</w:t>
      </w:r>
      <w:r w:rsidRPr="00DF21E0">
        <w:rPr>
          <w:rFonts w:asciiTheme="majorHAnsi" w:hAnsiTheme="majorHAnsi" w:cstheme="majorHAnsi"/>
          <w:b/>
        </w:rPr>
        <w:t xml:space="preserve"> był kolejnym rokiem, w którym </w:t>
      </w:r>
      <w:r w:rsidR="00C961F5">
        <w:rPr>
          <w:rFonts w:asciiTheme="majorHAnsi" w:hAnsiTheme="majorHAnsi" w:cstheme="majorHAnsi"/>
          <w:b/>
        </w:rPr>
        <w:t xml:space="preserve">znów odnotowano </w:t>
      </w:r>
      <w:r w:rsidRPr="00DF21E0">
        <w:rPr>
          <w:rFonts w:asciiTheme="majorHAnsi" w:hAnsiTheme="majorHAnsi" w:cstheme="majorHAnsi"/>
          <w:b/>
        </w:rPr>
        <w:t>wzrosty cen mieszkań.</w:t>
      </w:r>
      <w:r w:rsidR="004E723B">
        <w:rPr>
          <w:rFonts w:asciiTheme="majorHAnsi" w:hAnsiTheme="majorHAnsi" w:cstheme="majorHAnsi"/>
          <w:b/>
        </w:rPr>
        <w:t xml:space="preserve"> W </w:t>
      </w:r>
      <w:r>
        <w:rPr>
          <w:rFonts w:asciiTheme="majorHAnsi" w:hAnsiTheme="majorHAnsi" w:cstheme="majorHAnsi"/>
          <w:b/>
        </w:rPr>
        <w:t>stolicach województw wahały się one od 3 do 1</w:t>
      </w:r>
      <w:r w:rsidR="0071535D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>% na rynku pierwotn</w:t>
      </w:r>
      <w:r w:rsidR="004E723B">
        <w:rPr>
          <w:rFonts w:asciiTheme="majorHAnsi" w:hAnsiTheme="majorHAnsi" w:cstheme="majorHAnsi"/>
          <w:b/>
        </w:rPr>
        <w:t>ym i 3 do 9% na rynku wtórnym w </w:t>
      </w:r>
      <w:r>
        <w:rPr>
          <w:rFonts w:asciiTheme="majorHAnsi" w:hAnsiTheme="majorHAnsi" w:cstheme="majorHAnsi"/>
          <w:b/>
        </w:rPr>
        <w:t xml:space="preserve">ujęciu rocznym. </w:t>
      </w:r>
      <w:r w:rsidR="001C033B">
        <w:rPr>
          <w:rFonts w:asciiTheme="majorHAnsi" w:hAnsiTheme="majorHAnsi" w:cstheme="majorHAnsi"/>
          <w:b/>
        </w:rPr>
        <w:t>Popyt na własne M pozostanie silny również w 2021 r</w:t>
      </w:r>
      <w:r w:rsidR="000B2C1C">
        <w:rPr>
          <w:rFonts w:asciiTheme="majorHAnsi" w:hAnsiTheme="majorHAnsi" w:cstheme="majorHAnsi"/>
          <w:b/>
        </w:rPr>
        <w:t>oku</w:t>
      </w:r>
      <w:r w:rsidR="001C033B">
        <w:rPr>
          <w:rFonts w:asciiTheme="majorHAnsi" w:hAnsiTheme="majorHAnsi" w:cstheme="majorHAnsi"/>
          <w:b/>
        </w:rPr>
        <w:t xml:space="preserve"> i napędzi kolejne podwyżki, wskazują eksperci Emmerson Evaluation w najnowszym raporcie „</w:t>
      </w:r>
      <w:hyperlink r:id="rId8" w:history="1">
        <w:r w:rsidR="001C033B" w:rsidRPr="00D13259">
          <w:rPr>
            <w:rStyle w:val="Hipercze"/>
            <w:rFonts w:asciiTheme="majorHAnsi" w:hAnsiTheme="majorHAnsi" w:cstheme="majorHAnsi"/>
            <w:b/>
          </w:rPr>
          <w:t>Evaluer Index 2021</w:t>
        </w:r>
      </w:hyperlink>
      <w:r w:rsidR="001C033B">
        <w:rPr>
          <w:rFonts w:asciiTheme="majorHAnsi" w:hAnsiTheme="majorHAnsi" w:cstheme="majorHAnsi"/>
          <w:b/>
        </w:rPr>
        <w:t>”.</w:t>
      </w:r>
    </w:p>
    <w:p w14:paraId="483EEE17" w14:textId="3400C4FE" w:rsidR="00DF21E0" w:rsidRDefault="00DF21E0" w:rsidP="000466E1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 w:rsidRPr="00DF21E0">
        <w:rPr>
          <w:rFonts w:asciiTheme="majorHAnsi" w:hAnsiTheme="majorHAnsi" w:cstheme="majorHAnsi"/>
        </w:rPr>
        <w:t>Pierwsze dwa miesiące ubiegłego roku, tuż przed samą pandemią, były okresem wzrostów cen nieruchomości mieszkaniowych.</w:t>
      </w:r>
      <w:r w:rsidR="00826BC6">
        <w:rPr>
          <w:rFonts w:asciiTheme="majorHAnsi" w:hAnsiTheme="majorHAnsi" w:cstheme="majorHAnsi"/>
        </w:rPr>
        <w:t xml:space="preserve"> </w:t>
      </w:r>
      <w:r w:rsidR="007B137A">
        <w:rPr>
          <w:rFonts w:asciiTheme="majorHAnsi" w:hAnsiTheme="majorHAnsi" w:cstheme="majorHAnsi"/>
        </w:rPr>
        <w:t>P</w:t>
      </w:r>
      <w:r w:rsidR="00826BC6">
        <w:rPr>
          <w:rFonts w:asciiTheme="majorHAnsi" w:hAnsiTheme="majorHAnsi" w:cstheme="majorHAnsi"/>
        </w:rPr>
        <w:t xml:space="preserve">ojawienie </w:t>
      </w:r>
      <w:r w:rsidR="007B137A">
        <w:rPr>
          <w:rFonts w:asciiTheme="majorHAnsi" w:hAnsiTheme="majorHAnsi" w:cstheme="majorHAnsi"/>
        </w:rPr>
        <w:t xml:space="preserve">się w marcu </w:t>
      </w:r>
      <w:r w:rsidR="00826BC6">
        <w:rPr>
          <w:rFonts w:asciiTheme="majorHAnsi" w:hAnsiTheme="majorHAnsi" w:cstheme="majorHAnsi"/>
        </w:rPr>
        <w:t>koronawirusa w Polsce zachwiało rynkiem.</w:t>
      </w:r>
      <w:r w:rsidR="00826BC6" w:rsidRPr="00826BC6">
        <w:rPr>
          <w:rFonts w:asciiTheme="majorHAnsi" w:hAnsiTheme="majorHAnsi" w:cstheme="majorHAnsi"/>
        </w:rPr>
        <w:t xml:space="preserve"> </w:t>
      </w:r>
      <w:r w:rsidR="004E723B">
        <w:rPr>
          <w:rFonts w:asciiTheme="majorHAnsi" w:hAnsiTheme="majorHAnsi" w:cstheme="majorHAnsi"/>
        </w:rPr>
        <w:t>Na </w:t>
      </w:r>
      <w:r w:rsidR="008D0AC3" w:rsidRPr="00826BC6">
        <w:rPr>
          <w:rFonts w:asciiTheme="majorHAnsi" w:hAnsiTheme="majorHAnsi" w:cstheme="majorHAnsi"/>
        </w:rPr>
        <w:t>przełomie pierwszego i drugiego</w:t>
      </w:r>
      <w:r w:rsidRPr="00826BC6">
        <w:rPr>
          <w:rFonts w:asciiTheme="majorHAnsi" w:hAnsiTheme="majorHAnsi" w:cstheme="majorHAnsi"/>
        </w:rPr>
        <w:t xml:space="preserve"> kwartału ubiegłego roku, kiedy został wprowadzony twardy lockdown, rynek nieruchomości mieszkaniowych wyhamował. Realizowane były głównie wcześniej umówione transakcje. Wielu deweloperów z uwagi na podwyższone ryzyko i niepewność co do przyszłości, zdecydowało się na przesunięcie w czasie wprowadzania nowych inwestycji na rynek mieszkaniowy, kładąc nacisk na szybkie zakończenie tych, któr</w:t>
      </w:r>
      <w:r w:rsidR="00826BC6" w:rsidRPr="00826BC6">
        <w:rPr>
          <w:rFonts w:asciiTheme="majorHAnsi" w:hAnsiTheme="majorHAnsi" w:cstheme="majorHAnsi"/>
        </w:rPr>
        <w:t>e były już w trakcie realizacji.</w:t>
      </w:r>
    </w:p>
    <w:p w14:paraId="3DA6A941" w14:textId="77777777" w:rsidR="008D0AC3" w:rsidRPr="008D0AC3" w:rsidRDefault="008D0AC3" w:rsidP="000466E1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 w:rsidRPr="008D0AC3">
        <w:rPr>
          <w:rFonts w:asciiTheme="majorHAnsi" w:hAnsiTheme="majorHAnsi" w:cstheme="majorHAnsi"/>
        </w:rPr>
        <w:t>Zasadnicza zmiana dynamiki nastąpiła na przełomie maja i czerwca, kiedy część restrykcji została zdjęta, a społeczeństwo zaczęło w miarę normalnie funkcjonować. W drugiej połowie roku nastąpiło ożywienie na rynku nieruchomości mieszkaniowych. W następstwie pojawienia się nowej grupy nabywców chcącej chronić swój kapitał przed dewaluacją, popyt na mieszkania zaczął być coraz większy, co także przekładało się na wzrost poziomu cen nieruchomości.</w:t>
      </w:r>
    </w:p>
    <w:p w14:paraId="160B560E" w14:textId="2C122922" w:rsidR="008D0AC3" w:rsidRPr="008D0AC3" w:rsidRDefault="008D0AC3" w:rsidP="000466E1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 w:rsidRPr="008D0AC3">
        <w:rPr>
          <w:rFonts w:asciiTheme="majorHAnsi" w:hAnsiTheme="majorHAnsi" w:cstheme="majorHAnsi"/>
        </w:rPr>
        <w:t>Widząc zwiększający się popyt, deweloperzy zaczęli coraz śmiele</w:t>
      </w:r>
      <w:r w:rsidR="004E723B">
        <w:rPr>
          <w:rFonts w:asciiTheme="majorHAnsi" w:hAnsiTheme="majorHAnsi" w:cstheme="majorHAnsi"/>
        </w:rPr>
        <w:t>j wprowadzać nowe inwestycje na </w:t>
      </w:r>
      <w:r w:rsidRPr="008D0AC3">
        <w:rPr>
          <w:rFonts w:asciiTheme="majorHAnsi" w:hAnsiTheme="majorHAnsi" w:cstheme="majorHAnsi"/>
        </w:rPr>
        <w:t>rynek. Jednak mimo poprawy sytuacji i wzrostu sprzedaży mieszkań w całym 2020 roku, nie udało się osiągnąć poziomów z roku poprzedzającego pandemię. Przyczyną takiego stanu rzeczy był okres przestoju w II kwartale</w:t>
      </w:r>
      <w:r w:rsidR="00826BC6">
        <w:rPr>
          <w:rFonts w:asciiTheme="majorHAnsi" w:hAnsiTheme="majorHAnsi" w:cstheme="majorHAnsi"/>
        </w:rPr>
        <w:t xml:space="preserve"> oraz mniejsza oferta sprzedaży, wskazują autorzy raportu „Evaluer Index 2021”.</w:t>
      </w:r>
    </w:p>
    <w:p w14:paraId="570989B0" w14:textId="1777BDFA" w:rsidR="008D0AC3" w:rsidRDefault="008D0AC3" w:rsidP="000466E1">
      <w:pPr>
        <w:spacing w:before="120" w:after="0" w:line="276" w:lineRule="auto"/>
        <w:jc w:val="both"/>
        <w:rPr>
          <w:rFonts w:asciiTheme="majorHAnsi" w:hAnsiTheme="majorHAnsi" w:cstheme="majorHAnsi"/>
          <w:b/>
        </w:rPr>
      </w:pPr>
      <w:r w:rsidRPr="008D0AC3">
        <w:rPr>
          <w:rFonts w:asciiTheme="majorHAnsi" w:hAnsiTheme="majorHAnsi" w:cstheme="majorHAnsi"/>
          <w:b/>
        </w:rPr>
        <w:t>Covid</w:t>
      </w:r>
      <w:r w:rsidR="00826BC6">
        <w:rPr>
          <w:rFonts w:asciiTheme="majorHAnsi" w:hAnsiTheme="majorHAnsi" w:cstheme="majorHAnsi"/>
          <w:b/>
        </w:rPr>
        <w:t>-19</w:t>
      </w:r>
      <w:r w:rsidRPr="008D0AC3">
        <w:rPr>
          <w:rFonts w:asciiTheme="majorHAnsi" w:hAnsiTheme="majorHAnsi" w:cstheme="majorHAnsi"/>
          <w:b/>
        </w:rPr>
        <w:t xml:space="preserve"> nie zatrzymał podwyżek</w:t>
      </w:r>
    </w:p>
    <w:p w14:paraId="66B608B2" w14:textId="2A92DC6F" w:rsidR="00C961F5" w:rsidRPr="00C961F5" w:rsidRDefault="00C961F5" w:rsidP="000466E1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swoim raporcie Emmerson Evaluation przeanalizował dane z rynku mieszkaniowego 30 polskich miast, w tym szczegółowo siedem głównych aglomeracji, także w rozbiciu na poszczególne dzielnice</w:t>
      </w:r>
      <w:r w:rsidRPr="00FD3E8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Informacje pochodzą z bazy danych Evaluer, a ceny za mkw. są prze</w:t>
      </w:r>
      <w:r w:rsidR="004E723B">
        <w:rPr>
          <w:rFonts w:asciiTheme="majorHAnsi" w:hAnsiTheme="majorHAnsi" w:cstheme="majorHAnsi"/>
        </w:rPr>
        <w:t>dstawione w formie mediany, nie a </w:t>
      </w:r>
      <w:r>
        <w:rPr>
          <w:rFonts w:asciiTheme="majorHAnsi" w:hAnsiTheme="majorHAnsi" w:cstheme="majorHAnsi"/>
        </w:rPr>
        <w:t>średniej. Wartość środkowa lepiej odzwierciedla bowiem informację na temat cen, gdyż na wynik nie wpływają pojedyncze, nietypowe transakcje</w:t>
      </w:r>
      <w:r w:rsidRPr="008668E0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jak </w:t>
      </w:r>
      <w:r w:rsidRPr="008668E0">
        <w:rPr>
          <w:rFonts w:asciiTheme="majorHAnsi" w:hAnsiTheme="majorHAnsi" w:cstheme="majorHAnsi"/>
        </w:rPr>
        <w:t xml:space="preserve">np. zakup jednej </w:t>
      </w:r>
      <w:r>
        <w:rPr>
          <w:rFonts w:asciiTheme="majorHAnsi" w:hAnsiTheme="majorHAnsi" w:cstheme="majorHAnsi"/>
        </w:rPr>
        <w:t>wyjątkowo</w:t>
      </w:r>
      <w:r w:rsidRPr="008668E0">
        <w:rPr>
          <w:rFonts w:asciiTheme="majorHAnsi" w:hAnsiTheme="majorHAnsi" w:cstheme="majorHAnsi"/>
        </w:rPr>
        <w:t xml:space="preserve"> luksusowej</w:t>
      </w:r>
      <w:r>
        <w:rPr>
          <w:rFonts w:asciiTheme="majorHAnsi" w:hAnsiTheme="majorHAnsi" w:cstheme="majorHAnsi"/>
        </w:rPr>
        <w:t xml:space="preserve"> </w:t>
      </w:r>
      <w:r w:rsidRPr="008668E0">
        <w:rPr>
          <w:rFonts w:asciiTheme="majorHAnsi" w:hAnsiTheme="majorHAnsi" w:cstheme="majorHAnsi"/>
        </w:rPr>
        <w:t>nieruchomości).</w:t>
      </w:r>
      <w:r>
        <w:rPr>
          <w:rFonts w:asciiTheme="majorHAnsi" w:hAnsiTheme="majorHAnsi" w:cstheme="majorHAnsi"/>
        </w:rPr>
        <w:t xml:space="preserve"> W analizie </w:t>
      </w:r>
      <w:r w:rsidR="000B2C1C">
        <w:rPr>
          <w:rFonts w:asciiTheme="majorHAnsi" w:hAnsiTheme="majorHAnsi" w:cstheme="majorHAnsi"/>
        </w:rPr>
        <w:t xml:space="preserve">zostały wzięte </w:t>
      </w:r>
      <w:r>
        <w:rPr>
          <w:rFonts w:asciiTheme="majorHAnsi" w:hAnsiTheme="majorHAnsi" w:cstheme="majorHAnsi"/>
        </w:rPr>
        <w:t>pod uwagę ceny transakcyjne, po których kupujący rzeczywiście nabyli mieszkania.</w:t>
      </w:r>
    </w:p>
    <w:p w14:paraId="79FED68F" w14:textId="1E9823F0" w:rsidR="008D0AC3" w:rsidRPr="008D0AC3" w:rsidRDefault="008D0AC3" w:rsidP="000466E1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 w:rsidRPr="008D0AC3">
        <w:rPr>
          <w:rFonts w:asciiTheme="majorHAnsi" w:hAnsiTheme="majorHAnsi" w:cstheme="majorHAnsi"/>
        </w:rPr>
        <w:t xml:space="preserve">Pozycję lidera pod względem wysokości </w:t>
      </w:r>
      <w:r>
        <w:rPr>
          <w:rFonts w:asciiTheme="majorHAnsi" w:hAnsiTheme="majorHAnsi" w:cstheme="majorHAnsi"/>
        </w:rPr>
        <w:t xml:space="preserve">cen na rynku pierwotnym </w:t>
      </w:r>
      <w:r w:rsidR="004E723B">
        <w:rPr>
          <w:rFonts w:asciiTheme="majorHAnsi" w:hAnsiTheme="majorHAnsi" w:cstheme="majorHAnsi"/>
        </w:rPr>
        <w:t>utrzymał Sopot (mediana 16 700 </w:t>
      </w:r>
      <w:r w:rsidRPr="008D0AC3">
        <w:rPr>
          <w:rFonts w:asciiTheme="majorHAnsi" w:hAnsiTheme="majorHAnsi" w:cstheme="majorHAnsi"/>
        </w:rPr>
        <w:t>zł/mkw.). Wiceliderem pozostała Warszawa z medianą zbliżającą się do 11 000 zł</w:t>
      </w:r>
      <w:r>
        <w:rPr>
          <w:rFonts w:asciiTheme="majorHAnsi" w:hAnsiTheme="majorHAnsi" w:cstheme="majorHAnsi"/>
        </w:rPr>
        <w:t>/mkw</w:t>
      </w:r>
      <w:r w:rsidR="004E723B">
        <w:rPr>
          <w:rFonts w:asciiTheme="majorHAnsi" w:hAnsiTheme="majorHAnsi" w:cstheme="majorHAnsi"/>
        </w:rPr>
        <w:t>. Na </w:t>
      </w:r>
      <w:r w:rsidRPr="008D0AC3">
        <w:rPr>
          <w:rFonts w:asciiTheme="majorHAnsi" w:hAnsiTheme="majorHAnsi" w:cstheme="majorHAnsi"/>
        </w:rPr>
        <w:t>trzecie miejsce na podium przesunął się Kraków z wynikiem 9 800 zł/</w:t>
      </w:r>
      <w:r w:rsidR="004E723B">
        <w:rPr>
          <w:rFonts w:asciiTheme="majorHAnsi" w:hAnsiTheme="majorHAnsi" w:cstheme="majorHAnsi"/>
        </w:rPr>
        <w:t>mkw. Medianę cen mkw. powyżej 9 </w:t>
      </w:r>
      <w:r w:rsidRPr="008D0AC3">
        <w:rPr>
          <w:rFonts w:asciiTheme="majorHAnsi" w:hAnsiTheme="majorHAnsi" w:cstheme="majorHAnsi"/>
        </w:rPr>
        <w:t>000</w:t>
      </w:r>
      <w:r w:rsidR="004E723B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zł Emmerson Evaluation odnotował</w:t>
      </w:r>
      <w:r w:rsidRPr="008D0AC3">
        <w:rPr>
          <w:rFonts w:asciiTheme="majorHAnsi" w:hAnsiTheme="majorHAnsi" w:cstheme="majorHAnsi"/>
        </w:rPr>
        <w:t xml:space="preserve"> także w pozostałych miastach Trójmiasta. W Gdańs</w:t>
      </w:r>
      <w:r w:rsidR="004E723B">
        <w:rPr>
          <w:rFonts w:asciiTheme="majorHAnsi" w:hAnsiTheme="majorHAnsi" w:cstheme="majorHAnsi"/>
        </w:rPr>
        <w:t>ku wyniosła ona 9 </w:t>
      </w:r>
      <w:r w:rsidRPr="008D0AC3">
        <w:rPr>
          <w:rFonts w:asciiTheme="majorHAnsi" w:hAnsiTheme="majorHAnsi" w:cstheme="majorHAnsi"/>
        </w:rPr>
        <w:t xml:space="preserve">700 zł/mkw., w </w:t>
      </w:r>
      <w:r>
        <w:rPr>
          <w:rFonts w:asciiTheme="majorHAnsi" w:hAnsiTheme="majorHAnsi" w:cstheme="majorHAnsi"/>
        </w:rPr>
        <w:t xml:space="preserve">Gdyni było nieznacznie taniej - </w:t>
      </w:r>
      <w:r w:rsidRPr="008D0AC3">
        <w:rPr>
          <w:rFonts w:asciiTheme="majorHAnsi" w:hAnsiTheme="majorHAnsi" w:cstheme="majorHAnsi"/>
        </w:rPr>
        <w:t xml:space="preserve">9 600 zł/mkw. We Wrocławiu </w:t>
      </w:r>
      <w:r>
        <w:rPr>
          <w:rFonts w:asciiTheme="majorHAnsi" w:hAnsiTheme="majorHAnsi" w:cstheme="majorHAnsi"/>
        </w:rPr>
        <w:t xml:space="preserve">mediana </w:t>
      </w:r>
      <w:r>
        <w:rPr>
          <w:rFonts w:asciiTheme="majorHAnsi" w:hAnsiTheme="majorHAnsi" w:cstheme="majorHAnsi"/>
        </w:rPr>
        <w:lastRenderedPageBreak/>
        <w:t>zbliżyła się</w:t>
      </w:r>
      <w:r w:rsidRPr="008D0AC3">
        <w:rPr>
          <w:rFonts w:asciiTheme="majorHAnsi" w:hAnsiTheme="majorHAnsi" w:cstheme="majorHAnsi"/>
        </w:rPr>
        <w:t xml:space="preserve"> do 9</w:t>
      </w:r>
      <w:r w:rsidR="004E723B">
        <w:rPr>
          <w:rFonts w:asciiTheme="majorHAnsi" w:hAnsiTheme="majorHAnsi" w:cstheme="majorHAnsi"/>
        </w:rPr>
        <w:t> </w:t>
      </w:r>
      <w:r w:rsidRPr="008D0AC3">
        <w:rPr>
          <w:rFonts w:asciiTheme="majorHAnsi" w:hAnsiTheme="majorHAnsi" w:cstheme="majorHAnsi"/>
        </w:rPr>
        <w:t xml:space="preserve">000 zł/mkw., natomiast w Poznaniu przekroczyła 8 000 zł/mkw. </w:t>
      </w:r>
      <w:r>
        <w:rPr>
          <w:rFonts w:asciiTheme="majorHAnsi" w:hAnsiTheme="majorHAnsi" w:cstheme="majorHAnsi"/>
        </w:rPr>
        <w:t>Najtaniej znaleźć można było nowe mieszkanie w stolicach województwa</w:t>
      </w:r>
      <w:r w:rsidRPr="008D0AC3">
        <w:rPr>
          <w:rFonts w:asciiTheme="majorHAnsi" w:hAnsiTheme="majorHAnsi" w:cstheme="majorHAnsi"/>
        </w:rPr>
        <w:t xml:space="preserve"> lubuskiego. </w:t>
      </w:r>
      <w:r>
        <w:rPr>
          <w:rFonts w:asciiTheme="majorHAnsi" w:hAnsiTheme="majorHAnsi" w:cstheme="majorHAnsi"/>
        </w:rPr>
        <w:t xml:space="preserve">W </w:t>
      </w:r>
      <w:r w:rsidRPr="008D0AC3">
        <w:rPr>
          <w:rFonts w:asciiTheme="majorHAnsi" w:hAnsiTheme="majorHAnsi" w:cstheme="majorHAnsi"/>
        </w:rPr>
        <w:t>Zielonej Gór</w:t>
      </w:r>
      <w:r w:rsidR="00340564">
        <w:rPr>
          <w:rFonts w:asciiTheme="majorHAnsi" w:hAnsiTheme="majorHAnsi" w:cstheme="majorHAnsi"/>
        </w:rPr>
        <w:t>ze</w:t>
      </w:r>
      <w:r w:rsidRPr="008D0AC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płacono </w:t>
      </w:r>
      <w:r w:rsidRPr="008D0AC3">
        <w:rPr>
          <w:rFonts w:asciiTheme="majorHAnsi" w:hAnsiTheme="majorHAnsi" w:cstheme="majorHAnsi"/>
        </w:rPr>
        <w:t>5 100 zł</w:t>
      </w:r>
      <w:r>
        <w:rPr>
          <w:rFonts w:asciiTheme="majorHAnsi" w:hAnsiTheme="majorHAnsi" w:cstheme="majorHAnsi"/>
        </w:rPr>
        <w:t xml:space="preserve"> za </w:t>
      </w:r>
      <w:r w:rsidRPr="008D0AC3">
        <w:rPr>
          <w:rFonts w:asciiTheme="majorHAnsi" w:hAnsiTheme="majorHAnsi" w:cstheme="majorHAnsi"/>
        </w:rPr>
        <w:t>mkw</w:t>
      </w:r>
      <w:r>
        <w:rPr>
          <w:rFonts w:asciiTheme="majorHAnsi" w:hAnsiTheme="majorHAnsi" w:cstheme="majorHAnsi"/>
        </w:rPr>
        <w:t>. N</w:t>
      </w:r>
      <w:r w:rsidRPr="008D0AC3">
        <w:rPr>
          <w:rFonts w:asciiTheme="majorHAnsi" w:hAnsiTheme="majorHAnsi" w:cstheme="majorHAnsi"/>
        </w:rPr>
        <w:t>atomiast najniższą ze wszystkich analizowanych</w:t>
      </w:r>
      <w:r>
        <w:rPr>
          <w:rFonts w:asciiTheme="majorHAnsi" w:hAnsiTheme="majorHAnsi" w:cstheme="majorHAnsi"/>
        </w:rPr>
        <w:t xml:space="preserve"> w raporcie</w:t>
      </w:r>
      <w:r w:rsidRPr="008D0AC3">
        <w:rPr>
          <w:rFonts w:asciiTheme="majorHAnsi" w:hAnsiTheme="majorHAnsi" w:cstheme="majorHAnsi"/>
        </w:rPr>
        <w:t xml:space="preserve"> miast medianę cen </w:t>
      </w:r>
      <w:r>
        <w:rPr>
          <w:rFonts w:asciiTheme="majorHAnsi" w:hAnsiTheme="majorHAnsi" w:cstheme="majorHAnsi"/>
        </w:rPr>
        <w:t xml:space="preserve">zanotowano </w:t>
      </w:r>
      <w:r w:rsidR="004E723B">
        <w:rPr>
          <w:rFonts w:asciiTheme="majorHAnsi" w:hAnsiTheme="majorHAnsi" w:cstheme="majorHAnsi"/>
        </w:rPr>
        <w:t>w </w:t>
      </w:r>
      <w:r w:rsidRPr="008D0AC3">
        <w:rPr>
          <w:rFonts w:asciiTheme="majorHAnsi" w:hAnsiTheme="majorHAnsi" w:cstheme="majorHAnsi"/>
        </w:rPr>
        <w:t xml:space="preserve">Gorzowie </w:t>
      </w:r>
      <w:r>
        <w:rPr>
          <w:rFonts w:asciiTheme="majorHAnsi" w:hAnsiTheme="majorHAnsi" w:cstheme="majorHAnsi"/>
        </w:rPr>
        <w:t>Wielkopolskim (4 700 zł/mkw.)</w:t>
      </w:r>
    </w:p>
    <w:p w14:paraId="407A33A5" w14:textId="5F6E985D" w:rsidR="008D0AC3" w:rsidRDefault="008D0AC3" w:rsidP="000466E1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 w:rsidRPr="008D0AC3">
        <w:rPr>
          <w:rFonts w:asciiTheme="majorHAnsi" w:hAnsiTheme="majorHAnsi" w:cstheme="majorHAnsi"/>
        </w:rPr>
        <w:t>Rynek wtórny również odnotował znaczące wzrosty. Najdroższy pozostał Sopot z medi</w:t>
      </w:r>
      <w:r w:rsidR="004E723B">
        <w:rPr>
          <w:rFonts w:asciiTheme="majorHAnsi" w:hAnsiTheme="majorHAnsi" w:cstheme="majorHAnsi"/>
        </w:rPr>
        <w:t>aną cen na </w:t>
      </w:r>
      <w:r w:rsidRPr="008D0AC3">
        <w:rPr>
          <w:rFonts w:asciiTheme="majorHAnsi" w:hAnsiTheme="majorHAnsi" w:cstheme="majorHAnsi"/>
        </w:rPr>
        <w:t>poziomie 10 300 zł/mkw. W Warszawie mediana cena mkw. mieszkań</w:t>
      </w:r>
      <w:r w:rsidR="004E723B">
        <w:rPr>
          <w:rFonts w:asciiTheme="majorHAnsi" w:hAnsiTheme="majorHAnsi" w:cstheme="majorHAnsi"/>
        </w:rPr>
        <w:t xml:space="preserve"> z drugiej ręki zbliżyła się do </w:t>
      </w:r>
      <w:r w:rsidRPr="008D0AC3">
        <w:rPr>
          <w:rFonts w:asciiTheme="majorHAnsi" w:hAnsiTheme="majorHAnsi" w:cstheme="majorHAnsi"/>
        </w:rPr>
        <w:t>pozio</w:t>
      </w:r>
      <w:r w:rsidR="00826BC6">
        <w:rPr>
          <w:rFonts w:asciiTheme="majorHAnsi" w:hAnsiTheme="majorHAnsi" w:cstheme="majorHAnsi"/>
        </w:rPr>
        <w:t>mu 10 000 zł/mkw. Najniższe stawki poniżej 4 000 zł/mkw. występowały</w:t>
      </w:r>
      <w:r w:rsidRPr="008D0AC3">
        <w:rPr>
          <w:rFonts w:asciiTheme="majorHAnsi" w:hAnsiTheme="majorHAnsi" w:cstheme="majorHAnsi"/>
        </w:rPr>
        <w:t xml:space="preserve"> w Gorzowie Wielkopolskim oraz miastach Aglomeracji Śląskiej (bez Katowic). W</w:t>
      </w:r>
      <w:r>
        <w:rPr>
          <w:rFonts w:asciiTheme="majorHAnsi" w:hAnsiTheme="majorHAnsi" w:cstheme="majorHAnsi"/>
        </w:rPr>
        <w:t>szystkie analizowane przez Emmerson Evaluation w raporcie</w:t>
      </w:r>
      <w:r w:rsidRPr="008D0AC3">
        <w:rPr>
          <w:rFonts w:asciiTheme="majorHAnsi" w:hAnsiTheme="majorHAnsi" w:cstheme="majorHAnsi"/>
        </w:rPr>
        <w:t xml:space="preserve"> lokalizacje zanotowały kilkuprocentowe wzrosty, wyjątkiem jest Łódź, gdzie podwyżki sięgnęły poziomu 10% r/r.</w:t>
      </w:r>
    </w:p>
    <w:p w14:paraId="77396061" w14:textId="419481B9" w:rsidR="007E019F" w:rsidRPr="008D0AC3" w:rsidRDefault="007E019F" w:rsidP="000466E1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>
        <w:rPr>
          <w:noProof/>
          <w:lang w:eastAsia="pl-PL"/>
        </w:rPr>
        <w:drawing>
          <wp:inline distT="0" distB="0" distL="0" distR="0" wp14:anchorId="79416747" wp14:editId="01199838">
            <wp:extent cx="5759450" cy="4050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2D5D" w14:textId="1948E01F" w:rsidR="00C961F5" w:rsidRPr="00C961F5" w:rsidRDefault="00C961F5" w:rsidP="000466E1">
      <w:pPr>
        <w:spacing w:before="120" w:after="0" w:line="276" w:lineRule="auto"/>
        <w:jc w:val="both"/>
        <w:rPr>
          <w:rFonts w:asciiTheme="majorHAnsi" w:hAnsiTheme="majorHAnsi" w:cstheme="majorHAnsi"/>
          <w:b/>
        </w:rPr>
      </w:pPr>
      <w:r w:rsidRPr="00C961F5">
        <w:rPr>
          <w:rFonts w:asciiTheme="majorHAnsi" w:hAnsiTheme="majorHAnsi" w:cstheme="majorHAnsi"/>
          <w:b/>
        </w:rPr>
        <w:t>Co czeka rynek w 2021 roku?</w:t>
      </w:r>
    </w:p>
    <w:p w14:paraId="4B221F60" w14:textId="7E7957E0" w:rsidR="00C961F5" w:rsidRPr="00C961F5" w:rsidRDefault="00C961F5" w:rsidP="000466E1">
      <w:pPr>
        <w:spacing w:before="120" w:after="0" w:line="276" w:lineRule="auto"/>
        <w:jc w:val="both"/>
        <w:rPr>
          <w:rFonts w:asciiTheme="majorHAnsi" w:hAnsiTheme="majorHAnsi" w:cstheme="majorHAnsi"/>
          <w:bCs/>
        </w:rPr>
      </w:pPr>
      <w:r w:rsidRPr="00C961F5">
        <w:rPr>
          <w:rFonts w:asciiTheme="majorHAnsi" w:hAnsiTheme="majorHAnsi" w:cstheme="majorHAnsi"/>
          <w:bCs/>
        </w:rPr>
        <w:t xml:space="preserve">Pomimo przewidywanego w wyniku rozwoju pandemii spadku PKB, wzrost bezrobocia jest relatywnie niewielki i w 2020 roku wyniósł tylko 1%. Bezrobocie w Polsce pozostaje na najniższym poziomie w całej Unii. To bardzo ważny wskaźnik dla rynku mieszkaniowego, gdyż niskie bezrobocie i brak obaw o utratę pracy zawsze były na czele listy czynników napędzających jego wzrost. </w:t>
      </w:r>
    </w:p>
    <w:p w14:paraId="340BEA95" w14:textId="3B86A6DF" w:rsidR="00C961F5" w:rsidRPr="00C961F5" w:rsidRDefault="00C961F5" w:rsidP="000466E1">
      <w:pPr>
        <w:spacing w:before="120" w:after="0" w:line="276" w:lineRule="auto"/>
        <w:jc w:val="both"/>
        <w:rPr>
          <w:rFonts w:asciiTheme="majorHAnsi" w:hAnsiTheme="majorHAnsi" w:cstheme="majorHAnsi"/>
          <w:bCs/>
        </w:rPr>
      </w:pPr>
      <w:r w:rsidRPr="00C961F5">
        <w:rPr>
          <w:rFonts w:asciiTheme="majorHAnsi" w:hAnsiTheme="majorHAnsi" w:cstheme="majorHAnsi"/>
          <w:bCs/>
        </w:rPr>
        <w:t>Innym</w:t>
      </w:r>
      <w:r w:rsidR="00826BC6">
        <w:rPr>
          <w:rFonts w:asciiTheme="majorHAnsi" w:hAnsiTheme="majorHAnsi" w:cstheme="majorHAnsi"/>
          <w:bCs/>
        </w:rPr>
        <w:t xml:space="preserve">, </w:t>
      </w:r>
      <w:r w:rsidRPr="00C961F5">
        <w:rPr>
          <w:rFonts w:asciiTheme="majorHAnsi" w:hAnsiTheme="majorHAnsi" w:cstheme="majorHAnsi"/>
          <w:bCs/>
        </w:rPr>
        <w:t>bardzo istotnym czynnikiem ekonomicznym</w:t>
      </w:r>
      <w:r w:rsidR="00826BC6">
        <w:rPr>
          <w:rFonts w:asciiTheme="majorHAnsi" w:hAnsiTheme="majorHAnsi" w:cstheme="majorHAnsi"/>
          <w:bCs/>
        </w:rPr>
        <w:t xml:space="preserve"> wpływającym na </w:t>
      </w:r>
      <w:r w:rsidR="00826BC6" w:rsidRPr="00C961F5">
        <w:rPr>
          <w:rFonts w:asciiTheme="majorHAnsi" w:hAnsiTheme="majorHAnsi" w:cstheme="majorHAnsi"/>
          <w:bCs/>
        </w:rPr>
        <w:t>koniunkturę rynku mieszkaniowego</w:t>
      </w:r>
      <w:r w:rsidRPr="00C961F5">
        <w:rPr>
          <w:rFonts w:asciiTheme="majorHAnsi" w:hAnsiTheme="majorHAnsi" w:cstheme="majorHAnsi"/>
          <w:bCs/>
        </w:rPr>
        <w:t xml:space="preserve"> </w:t>
      </w:r>
      <w:r w:rsidR="00826BC6" w:rsidRPr="00C961F5">
        <w:rPr>
          <w:rFonts w:asciiTheme="majorHAnsi" w:hAnsiTheme="majorHAnsi" w:cstheme="majorHAnsi"/>
          <w:bCs/>
        </w:rPr>
        <w:t>są stopy procentowe NBP</w:t>
      </w:r>
      <w:r w:rsidR="00826BC6">
        <w:rPr>
          <w:rFonts w:asciiTheme="majorHAnsi" w:hAnsiTheme="majorHAnsi" w:cstheme="majorHAnsi"/>
          <w:bCs/>
        </w:rPr>
        <w:t>. O</w:t>
      </w:r>
      <w:r w:rsidRPr="00C961F5">
        <w:rPr>
          <w:rFonts w:asciiTheme="majorHAnsi" w:hAnsiTheme="majorHAnsi" w:cstheme="majorHAnsi"/>
          <w:bCs/>
        </w:rPr>
        <w:t xml:space="preserve">d dłuższego czasu </w:t>
      </w:r>
      <w:r w:rsidR="00826BC6">
        <w:rPr>
          <w:rFonts w:asciiTheme="majorHAnsi" w:hAnsiTheme="majorHAnsi" w:cstheme="majorHAnsi"/>
          <w:bCs/>
        </w:rPr>
        <w:t xml:space="preserve">są one </w:t>
      </w:r>
      <w:r w:rsidRPr="00C961F5">
        <w:rPr>
          <w:rFonts w:asciiTheme="majorHAnsi" w:hAnsiTheme="majorHAnsi" w:cstheme="majorHAnsi"/>
          <w:bCs/>
        </w:rPr>
        <w:t>najniższe w historii, co skutkuje wyjątkowo tanim kredytem, również dla nabywców mieszkań.</w:t>
      </w:r>
      <w:r w:rsidRPr="00C961F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  <w:bCs/>
        </w:rPr>
        <w:t xml:space="preserve"> </w:t>
      </w:r>
      <w:r w:rsidRPr="00C961F5">
        <w:rPr>
          <w:rFonts w:asciiTheme="majorHAnsi" w:hAnsiTheme="majorHAnsi" w:cstheme="majorHAnsi"/>
          <w:bCs/>
          <w:i/>
        </w:rPr>
        <w:t xml:space="preserve">Należy podkreślić, że obniżki dokonane przez NBP zaraz na początku pandemii doprowadziły do sytuacji, w </w:t>
      </w:r>
      <w:r w:rsidR="004E723B">
        <w:rPr>
          <w:rFonts w:asciiTheme="majorHAnsi" w:hAnsiTheme="majorHAnsi" w:cstheme="majorHAnsi"/>
          <w:bCs/>
          <w:i/>
        </w:rPr>
        <w:t xml:space="preserve">której trzymanie oszczędności </w:t>
      </w:r>
      <w:r w:rsidR="004E723B">
        <w:rPr>
          <w:rFonts w:asciiTheme="majorHAnsi" w:hAnsiTheme="majorHAnsi" w:cstheme="majorHAnsi"/>
          <w:bCs/>
          <w:i/>
        </w:rPr>
        <w:lastRenderedPageBreak/>
        <w:t>w </w:t>
      </w:r>
      <w:r w:rsidRPr="00C961F5">
        <w:rPr>
          <w:rFonts w:asciiTheme="majorHAnsi" w:hAnsiTheme="majorHAnsi" w:cstheme="majorHAnsi"/>
          <w:bCs/>
          <w:i/>
        </w:rPr>
        <w:t>banku stało się nieopłacalne. To skutecznie stymuluje popyt osób posiadających gotówkę na różne aktywa rynkowe, m.in. do lokowania ich na giełdzie, w obligacjach, metalach szlachetnych oraz na rynku nieruchomości. Rynek mieszkaniowy, tradycyjnie postrzegany w Polsce jako najbezpieczniejszy, przejął znaczną cześć tych oszczędności. Osoby, które nie chcą trzymać w banku pieniędzy na zerowym lub ujemnym oprocentowaniu, ale pragną zainwestować je bez narażania się na duże ryzyko, najczęściej wybierają zakup mieszkania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</w:rPr>
        <w:t xml:space="preserve">– tłumaczy </w:t>
      </w:r>
      <w:r w:rsidRPr="00AC6C67">
        <w:rPr>
          <w:rFonts w:asciiTheme="majorHAnsi" w:hAnsiTheme="majorHAnsi" w:cstheme="majorHAnsi"/>
          <w:b/>
        </w:rPr>
        <w:t>Robert Korczyński</w:t>
      </w:r>
      <w:r w:rsidR="00AC6C67" w:rsidRPr="00AC6C67">
        <w:rPr>
          <w:rFonts w:asciiTheme="majorHAnsi" w:hAnsiTheme="majorHAnsi" w:cstheme="majorHAnsi"/>
          <w:b/>
        </w:rPr>
        <w:t>, członek zarządu Emmerson Evaluation</w:t>
      </w:r>
      <w:r w:rsidR="004E723B">
        <w:rPr>
          <w:rFonts w:asciiTheme="majorHAnsi" w:hAnsiTheme="majorHAnsi" w:cstheme="majorHAnsi"/>
        </w:rPr>
        <w:t xml:space="preserve"> i </w:t>
      </w:r>
      <w:r>
        <w:rPr>
          <w:rFonts w:asciiTheme="majorHAnsi" w:hAnsiTheme="majorHAnsi" w:cstheme="majorHAnsi"/>
        </w:rPr>
        <w:t xml:space="preserve">wskazuje, że </w:t>
      </w:r>
      <w:r>
        <w:rPr>
          <w:rFonts w:asciiTheme="majorHAnsi" w:hAnsiTheme="majorHAnsi" w:cstheme="majorHAnsi"/>
          <w:bCs/>
        </w:rPr>
        <w:t>n</w:t>
      </w:r>
      <w:r w:rsidRPr="00C961F5">
        <w:rPr>
          <w:rFonts w:asciiTheme="majorHAnsi" w:hAnsiTheme="majorHAnsi" w:cstheme="majorHAnsi"/>
          <w:bCs/>
        </w:rPr>
        <w:t>ie bez znaczenia jest również fakt, że po skokowym za</w:t>
      </w:r>
      <w:r w:rsidR="004E723B">
        <w:rPr>
          <w:rFonts w:asciiTheme="majorHAnsi" w:hAnsiTheme="majorHAnsi" w:cstheme="majorHAnsi"/>
          <w:bCs/>
        </w:rPr>
        <w:t>ostrzeniu polityki kredytowej w </w:t>
      </w:r>
      <w:r w:rsidRPr="00C961F5">
        <w:rPr>
          <w:rFonts w:asciiTheme="majorHAnsi" w:hAnsiTheme="majorHAnsi" w:cstheme="majorHAnsi"/>
          <w:bCs/>
        </w:rPr>
        <w:t>pierwszej fazie pandemii banki istotnie poluzowały politykę kredytową w drugiej połowie ubiegł</w:t>
      </w:r>
      <w:r w:rsidR="00FE1860">
        <w:rPr>
          <w:rFonts w:asciiTheme="majorHAnsi" w:hAnsiTheme="majorHAnsi" w:cstheme="majorHAnsi"/>
          <w:bCs/>
        </w:rPr>
        <w:t>ego</w:t>
      </w:r>
      <w:r w:rsidRPr="00C961F5">
        <w:rPr>
          <w:rFonts w:asciiTheme="majorHAnsi" w:hAnsiTheme="majorHAnsi" w:cstheme="majorHAnsi"/>
          <w:bCs/>
        </w:rPr>
        <w:t xml:space="preserve"> roku. Strategia ta jest kontynuowana również na początku roku 2021. Dzięki temu również osoby nieposiadające wystarczających oszczędności mogą pozwolić sobie na zakup wymarzonego mieszkania, wspoma</w:t>
      </w:r>
      <w:r>
        <w:rPr>
          <w:rFonts w:asciiTheme="majorHAnsi" w:hAnsiTheme="majorHAnsi" w:cstheme="majorHAnsi"/>
          <w:bCs/>
        </w:rPr>
        <w:t>gając się kredytem hipotecznym.</w:t>
      </w:r>
    </w:p>
    <w:p w14:paraId="48331AFD" w14:textId="578010B2" w:rsidR="00C961F5" w:rsidRPr="00C961F5" w:rsidRDefault="00C961F5" w:rsidP="000466E1">
      <w:pPr>
        <w:spacing w:before="120" w:after="0"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Ze strony podażowej eksperci Emmerson Evaluation zwracają uwagę na</w:t>
      </w:r>
      <w:r w:rsidRPr="00C961F5">
        <w:rPr>
          <w:rFonts w:asciiTheme="majorHAnsi" w:hAnsiTheme="majorHAnsi" w:cstheme="majorHAnsi"/>
          <w:bCs/>
        </w:rPr>
        <w:t xml:space="preserve"> wysoką inflację, która z całą pewnością nie da deweloperom pola do obniżek cen mieszkań. </w:t>
      </w:r>
      <w:r w:rsidR="005C1FBA">
        <w:rPr>
          <w:rFonts w:asciiTheme="majorHAnsi" w:hAnsiTheme="majorHAnsi" w:cstheme="majorHAnsi"/>
          <w:bCs/>
        </w:rPr>
        <w:t>N</w:t>
      </w:r>
      <w:r w:rsidRPr="00C961F5">
        <w:rPr>
          <w:rFonts w:asciiTheme="majorHAnsi" w:hAnsiTheme="majorHAnsi" w:cstheme="majorHAnsi"/>
          <w:bCs/>
        </w:rPr>
        <w:t xml:space="preserve">ależy </w:t>
      </w:r>
      <w:r w:rsidR="005C1FBA">
        <w:rPr>
          <w:rFonts w:asciiTheme="majorHAnsi" w:hAnsiTheme="majorHAnsi" w:cstheme="majorHAnsi"/>
          <w:bCs/>
        </w:rPr>
        <w:t xml:space="preserve">więc </w:t>
      </w:r>
      <w:r w:rsidRPr="00C961F5">
        <w:rPr>
          <w:rFonts w:asciiTheme="majorHAnsi" w:hAnsiTheme="majorHAnsi" w:cstheme="majorHAnsi"/>
          <w:bCs/>
        </w:rPr>
        <w:t xml:space="preserve">spodziewać się wzrostu zarówno kosztów materiałów budowlanych, jak również kosztów wynagrodzeń pracowników, których nadal brakuje. </w:t>
      </w:r>
      <w:r w:rsidR="005C1FBA">
        <w:rPr>
          <w:rFonts w:asciiTheme="majorHAnsi" w:hAnsiTheme="majorHAnsi" w:cstheme="majorHAnsi"/>
          <w:bCs/>
        </w:rPr>
        <w:t xml:space="preserve">- </w:t>
      </w:r>
      <w:r w:rsidRPr="005C1FBA">
        <w:rPr>
          <w:rFonts w:asciiTheme="majorHAnsi" w:hAnsiTheme="majorHAnsi" w:cstheme="majorHAnsi"/>
          <w:bCs/>
          <w:i/>
        </w:rPr>
        <w:t>Warto pami</w:t>
      </w:r>
      <w:r w:rsidR="005C1FBA">
        <w:rPr>
          <w:rFonts w:asciiTheme="majorHAnsi" w:hAnsiTheme="majorHAnsi" w:cstheme="majorHAnsi"/>
          <w:bCs/>
          <w:i/>
        </w:rPr>
        <w:t>ętać, że lockdown na przełomie pierwszego i drugiego</w:t>
      </w:r>
      <w:r w:rsidRPr="005C1FBA">
        <w:rPr>
          <w:rFonts w:asciiTheme="majorHAnsi" w:hAnsiTheme="majorHAnsi" w:cstheme="majorHAnsi"/>
          <w:bCs/>
          <w:i/>
        </w:rPr>
        <w:t xml:space="preserve"> kwartału ubiegłego roku znacznie zahamował wydawanie nowych pozwoleń na budowę oraz wprowadzanie przez deweloperów nowych inwestycji na rynek mieszkaniowy. Skutkowało t</w:t>
      </w:r>
      <w:r w:rsidR="004E723B">
        <w:rPr>
          <w:rFonts w:asciiTheme="majorHAnsi" w:hAnsiTheme="majorHAnsi" w:cstheme="majorHAnsi"/>
          <w:bCs/>
          <w:i/>
        </w:rPr>
        <w:t>o mniejszą podażą praktycznie w </w:t>
      </w:r>
      <w:r w:rsidRPr="005C1FBA">
        <w:rPr>
          <w:rFonts w:asciiTheme="majorHAnsi" w:hAnsiTheme="majorHAnsi" w:cstheme="majorHAnsi"/>
          <w:bCs/>
          <w:i/>
        </w:rPr>
        <w:t>każdym dużym mieście i skutecznie wspomagało obserwowane przez cały ubiegły rok wzrosty cen mieszkań. Aktualnie liczba uzyskiwanych przez deweloperów pozwoleń na budowę oraz wprowadzanych na rynek inwestycji wzrosła. Może to w części zrównoważyć zgłaszany popyt oraz złagodzić potencjalne wzrosty cen mieszkań w tym roku. Jest to jednak w zasadzie jedyny czynnik przeciwdziałający pote</w:t>
      </w:r>
      <w:r w:rsidR="005C1FBA" w:rsidRPr="005C1FBA">
        <w:rPr>
          <w:rFonts w:asciiTheme="majorHAnsi" w:hAnsiTheme="majorHAnsi" w:cstheme="majorHAnsi"/>
          <w:bCs/>
          <w:i/>
        </w:rPr>
        <w:t>ncjalnym wzrostom cen mieszkań</w:t>
      </w:r>
      <w:r w:rsidR="005C1FBA">
        <w:rPr>
          <w:rFonts w:asciiTheme="majorHAnsi" w:hAnsiTheme="majorHAnsi" w:cstheme="majorHAnsi"/>
          <w:bCs/>
          <w:i/>
        </w:rPr>
        <w:t>.</w:t>
      </w:r>
      <w:r w:rsidR="005C1FBA">
        <w:rPr>
          <w:rFonts w:asciiTheme="majorHAnsi" w:hAnsiTheme="majorHAnsi" w:cstheme="majorHAnsi"/>
          <w:bCs/>
        </w:rPr>
        <w:t xml:space="preserve"> </w:t>
      </w:r>
      <w:r w:rsidR="005C1FBA" w:rsidRPr="005C1FBA">
        <w:rPr>
          <w:rFonts w:asciiTheme="majorHAnsi" w:hAnsiTheme="majorHAnsi" w:cstheme="majorHAnsi"/>
          <w:bCs/>
          <w:i/>
        </w:rPr>
        <w:t xml:space="preserve">Wszystkie inne wskaźniki przemawiają za kontynuacją </w:t>
      </w:r>
      <w:r w:rsidR="00FE1860">
        <w:rPr>
          <w:rFonts w:asciiTheme="majorHAnsi" w:hAnsiTheme="majorHAnsi" w:cstheme="majorHAnsi"/>
          <w:bCs/>
          <w:i/>
        </w:rPr>
        <w:t>podwyżek</w:t>
      </w:r>
      <w:r w:rsidR="005C1FBA" w:rsidRPr="005C1FBA">
        <w:rPr>
          <w:rFonts w:asciiTheme="majorHAnsi" w:hAnsiTheme="majorHAnsi" w:cstheme="majorHAnsi"/>
          <w:bCs/>
          <w:i/>
        </w:rPr>
        <w:t xml:space="preserve"> w perspektywie najbliższego roku</w:t>
      </w:r>
      <w:r w:rsidR="005C1FBA" w:rsidRPr="00C961F5">
        <w:rPr>
          <w:rFonts w:asciiTheme="majorHAnsi" w:hAnsiTheme="majorHAnsi" w:cstheme="majorHAnsi"/>
          <w:bCs/>
        </w:rPr>
        <w:t xml:space="preserve"> </w:t>
      </w:r>
      <w:r w:rsidR="00E135BF">
        <w:rPr>
          <w:rFonts w:asciiTheme="majorHAnsi" w:hAnsiTheme="majorHAnsi" w:cstheme="majorHAnsi"/>
          <w:bCs/>
        </w:rPr>
        <w:t>– wskazuje</w:t>
      </w:r>
      <w:r w:rsidR="00E135BF" w:rsidRPr="00E135BF">
        <w:rPr>
          <w:rFonts w:asciiTheme="majorHAnsi" w:hAnsiTheme="majorHAnsi" w:cstheme="majorHAnsi"/>
          <w:b/>
          <w:bCs/>
        </w:rPr>
        <w:t xml:space="preserve"> Dariusz Książak, prezes Emmerson Evaluation.</w:t>
      </w:r>
    </w:p>
    <w:p w14:paraId="41D9DDF6" w14:textId="069C9A74" w:rsidR="008D0AC3" w:rsidRPr="000466E1" w:rsidRDefault="00AC6C67" w:rsidP="000466E1">
      <w:pPr>
        <w:spacing w:before="120" w:after="0"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</w:t>
      </w:r>
      <w:r w:rsidR="005C1FBA">
        <w:rPr>
          <w:rFonts w:asciiTheme="majorHAnsi" w:hAnsiTheme="majorHAnsi" w:cstheme="majorHAnsi"/>
          <w:bCs/>
        </w:rPr>
        <w:t xml:space="preserve">ksperci </w:t>
      </w:r>
      <w:r>
        <w:rPr>
          <w:rFonts w:asciiTheme="majorHAnsi" w:hAnsiTheme="majorHAnsi" w:cstheme="majorHAnsi"/>
          <w:bCs/>
        </w:rPr>
        <w:t>Emmerson Evalaution n</w:t>
      </w:r>
      <w:r w:rsidR="005C1FBA">
        <w:rPr>
          <w:rFonts w:asciiTheme="majorHAnsi" w:hAnsiTheme="majorHAnsi" w:cstheme="majorHAnsi"/>
          <w:bCs/>
        </w:rPr>
        <w:t>ie spodziewają</w:t>
      </w:r>
      <w:r w:rsidR="00C961F5" w:rsidRPr="00C961F5">
        <w:rPr>
          <w:rFonts w:asciiTheme="majorHAnsi" w:hAnsiTheme="majorHAnsi" w:cstheme="majorHAnsi"/>
          <w:bCs/>
        </w:rPr>
        <w:t xml:space="preserve"> się</w:t>
      </w:r>
      <w:r>
        <w:rPr>
          <w:rFonts w:asciiTheme="majorHAnsi" w:hAnsiTheme="majorHAnsi" w:cstheme="majorHAnsi"/>
          <w:bCs/>
        </w:rPr>
        <w:t xml:space="preserve"> odwrócenia </w:t>
      </w:r>
      <w:r w:rsidR="005C1FBA">
        <w:rPr>
          <w:rFonts w:asciiTheme="majorHAnsi" w:hAnsiTheme="majorHAnsi" w:cstheme="majorHAnsi"/>
          <w:bCs/>
        </w:rPr>
        <w:t>trendu</w:t>
      </w:r>
      <w:r>
        <w:rPr>
          <w:rFonts w:asciiTheme="majorHAnsi" w:hAnsiTheme="majorHAnsi" w:cstheme="majorHAnsi"/>
          <w:bCs/>
        </w:rPr>
        <w:t xml:space="preserve"> wzrostowego cen w 2021 r.</w:t>
      </w:r>
      <w:r w:rsidR="004E723B">
        <w:rPr>
          <w:rFonts w:asciiTheme="majorHAnsi" w:hAnsiTheme="majorHAnsi" w:cstheme="majorHAnsi"/>
          <w:bCs/>
        </w:rPr>
        <w:t xml:space="preserve"> i </w:t>
      </w:r>
      <w:r w:rsidR="005C1FBA">
        <w:rPr>
          <w:rFonts w:asciiTheme="majorHAnsi" w:hAnsiTheme="majorHAnsi" w:cstheme="majorHAnsi"/>
          <w:bCs/>
        </w:rPr>
        <w:t>wskazują, że p</w:t>
      </w:r>
      <w:r w:rsidR="00C961F5" w:rsidRPr="00C961F5">
        <w:rPr>
          <w:rFonts w:asciiTheme="majorHAnsi" w:hAnsiTheme="majorHAnsi" w:cstheme="majorHAnsi"/>
          <w:bCs/>
        </w:rPr>
        <w:t>opyt jest wystarczająco duży, żeby odpowiednio napędzić rynek do kolejn</w:t>
      </w:r>
      <w:r w:rsidR="005C1FBA">
        <w:rPr>
          <w:rFonts w:asciiTheme="majorHAnsi" w:hAnsiTheme="majorHAnsi" w:cstheme="majorHAnsi"/>
          <w:bCs/>
        </w:rPr>
        <w:t>ych rekordów. Według ich prognoz</w:t>
      </w:r>
      <w:r w:rsidR="005C1FBA" w:rsidRPr="005C1FBA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podwyżki będą wahały się w zakresie 3-8%.</w:t>
      </w:r>
    </w:p>
    <w:p w14:paraId="0FA74BA3" w14:textId="77777777" w:rsidR="008D0AC3" w:rsidRDefault="008D0AC3" w:rsidP="003A0E9B">
      <w:pPr>
        <w:jc w:val="both"/>
        <w:rPr>
          <w:rFonts w:asciiTheme="majorHAnsi" w:hAnsiTheme="majorHAnsi" w:cstheme="majorHAnsi"/>
        </w:rPr>
      </w:pPr>
    </w:p>
    <w:p w14:paraId="17AED58B" w14:textId="5345E62C" w:rsidR="00D13259" w:rsidRPr="001B2C45" w:rsidRDefault="001B2C45" w:rsidP="003A0E9B">
      <w:pPr>
        <w:jc w:val="both"/>
        <w:rPr>
          <w:rFonts w:asciiTheme="majorHAnsi" w:hAnsiTheme="majorHAnsi" w:cstheme="majorHAnsi"/>
          <w:sz w:val="20"/>
        </w:rPr>
      </w:pPr>
      <w:r w:rsidRPr="001B2C45">
        <w:rPr>
          <w:rFonts w:asciiTheme="majorHAnsi" w:hAnsiTheme="majorHAnsi" w:cstheme="majorHAnsi"/>
          <w:sz w:val="20"/>
        </w:rPr>
        <w:t>Cały r</w:t>
      </w:r>
      <w:r w:rsidR="00D13259" w:rsidRPr="001B2C45">
        <w:rPr>
          <w:rFonts w:asciiTheme="majorHAnsi" w:hAnsiTheme="majorHAnsi" w:cstheme="majorHAnsi"/>
          <w:sz w:val="20"/>
        </w:rPr>
        <w:t xml:space="preserve">aport </w:t>
      </w:r>
      <w:r w:rsidRPr="001B2C45">
        <w:rPr>
          <w:rFonts w:asciiTheme="majorHAnsi" w:hAnsiTheme="majorHAnsi" w:cstheme="majorHAnsi"/>
          <w:sz w:val="20"/>
        </w:rPr>
        <w:t>„</w:t>
      </w:r>
      <w:r w:rsidR="00D13259" w:rsidRPr="001B2C45">
        <w:rPr>
          <w:rFonts w:asciiTheme="majorHAnsi" w:hAnsiTheme="majorHAnsi" w:cstheme="majorHAnsi"/>
          <w:sz w:val="20"/>
        </w:rPr>
        <w:t xml:space="preserve">Evaluer Index 2021” jest dostępny pod adresem: </w:t>
      </w:r>
      <w:hyperlink r:id="rId10" w:history="1">
        <w:r w:rsidR="00D13259" w:rsidRPr="001B2C45">
          <w:rPr>
            <w:rStyle w:val="Hipercze"/>
            <w:rFonts w:asciiTheme="majorHAnsi" w:hAnsiTheme="majorHAnsi" w:cstheme="majorHAnsi"/>
            <w:sz w:val="20"/>
          </w:rPr>
          <w:t>https://www.emmerson-evaluation.pl/wp-content/uploads/2021/04/raport-evaluer-index-2021.pdf</w:t>
        </w:r>
      </w:hyperlink>
      <w:r w:rsidR="00D13259" w:rsidRPr="001B2C45">
        <w:rPr>
          <w:rFonts w:asciiTheme="majorHAnsi" w:hAnsiTheme="majorHAnsi" w:cstheme="majorHAnsi"/>
          <w:sz w:val="20"/>
        </w:rPr>
        <w:t xml:space="preserve">. </w:t>
      </w:r>
    </w:p>
    <w:p w14:paraId="4705E5BF" w14:textId="77777777" w:rsidR="006A6FD3" w:rsidRPr="00273F9C" w:rsidRDefault="006A6FD3" w:rsidP="00123F35">
      <w:pPr>
        <w:pStyle w:val="Czgwna"/>
        <w:spacing w:before="120" w:after="0" w:line="360" w:lineRule="auto"/>
        <w:jc w:val="center"/>
        <w:rPr>
          <w:rFonts w:asciiTheme="majorHAnsi" w:eastAsia="Calibri Light" w:hAnsiTheme="majorHAnsi" w:cstheme="majorHAnsi"/>
          <w:b/>
          <w:lang w:val="pl-PL"/>
        </w:rPr>
      </w:pPr>
      <w:r w:rsidRPr="00273F9C">
        <w:rPr>
          <w:rFonts w:asciiTheme="majorHAnsi" w:eastAsia="Calibri Light" w:hAnsiTheme="majorHAnsi" w:cstheme="majorHAnsi"/>
          <w:b/>
          <w:lang w:val="pl-PL"/>
        </w:rPr>
        <w:t>***</w:t>
      </w:r>
    </w:p>
    <w:p w14:paraId="5CDE7391" w14:textId="77777777" w:rsidR="005A1033" w:rsidRDefault="00273F9C" w:rsidP="005A1033">
      <w:pPr>
        <w:spacing w:before="120" w:after="0"/>
        <w:jc w:val="both"/>
        <w:rPr>
          <w:rFonts w:asciiTheme="majorHAnsi" w:eastAsia="Calibri Light" w:hAnsiTheme="majorHAnsi" w:cstheme="majorHAnsi"/>
          <w:sz w:val="18"/>
          <w:szCs w:val="18"/>
        </w:rPr>
      </w:pPr>
      <w:r w:rsidRPr="005A1033">
        <w:rPr>
          <w:rFonts w:asciiTheme="majorHAnsi" w:eastAsia="Calibri Light" w:hAnsiTheme="majorHAnsi" w:cstheme="majorHAnsi"/>
          <w:b/>
          <w:sz w:val="18"/>
          <w:szCs w:val="18"/>
        </w:rPr>
        <w:t>Emmerson Evaluation Sp. z o.o.</w:t>
      </w:r>
      <w:r w:rsidR="005A1033" w:rsidRPr="005A1033">
        <w:rPr>
          <w:rFonts w:asciiTheme="majorHAnsi" w:eastAsia="Calibri Light" w:hAnsiTheme="majorHAnsi" w:cstheme="majorHAnsi"/>
          <w:sz w:val="18"/>
          <w:szCs w:val="18"/>
        </w:rPr>
        <w:t xml:space="preserve"> istnieje od 2008 roku i świadczy usługi wycen nieruchomości mieszkaniowych, komercyjnych (biura, handel, magazyny, inwestycje deweloperskie, hotele). Spółka wykonuje wyceny dla wszelkich celów, w tym m.in. dla potrzeb zabezpieczenia wierzytelności, sprawozdań finansowych i oceny opłacalności zakupu lub sprzedaży. Posiada również bogate doświadczenie w wycenie dużych pakietów nieruchomości, wycenie środków trwałych oraz analizach rynkowych. Wszelkie opracowania Emmerson Evaluation wykonuje zgodnie ze standardami polskimi i międzynarodowymi. Spółka posiada biura regionalne w 6 największych miastach Polski, zatrudnia ponad 60 specjalistów rynku nieruchomości, w tym 30 rzeczoznawców majątkowych. Usługi Emmerson Evaluation są skierowane przede wszystkim do banków, deweloperów mieszkaniowych i komercyjnych, funduszy inwestycyjnych oraz spółek giełdowych</w:t>
      </w:r>
      <w:r w:rsidR="005A1033">
        <w:rPr>
          <w:rFonts w:asciiTheme="majorHAnsi" w:eastAsia="Calibri Light" w:hAnsiTheme="majorHAnsi" w:cstheme="majorHAnsi"/>
          <w:sz w:val="18"/>
          <w:szCs w:val="18"/>
        </w:rPr>
        <w:t>.</w:t>
      </w:r>
    </w:p>
    <w:p w14:paraId="657AAA8D" w14:textId="5D047943" w:rsidR="00273F9C" w:rsidRPr="0099402C" w:rsidRDefault="00273F9C" w:rsidP="005A1033">
      <w:pPr>
        <w:spacing w:before="120" w:after="0"/>
        <w:jc w:val="both"/>
        <w:rPr>
          <w:rFonts w:asciiTheme="majorHAnsi" w:eastAsia="Calibri Light" w:hAnsiTheme="majorHAnsi" w:cstheme="majorHAnsi"/>
          <w:sz w:val="18"/>
          <w:szCs w:val="18"/>
        </w:rPr>
      </w:pPr>
      <w:r w:rsidRPr="0099402C">
        <w:rPr>
          <w:rFonts w:asciiTheme="majorHAnsi" w:eastAsia="Calibri Light" w:hAnsiTheme="majorHAnsi" w:cstheme="majorHAnsi"/>
          <w:sz w:val="18"/>
          <w:szCs w:val="18"/>
        </w:rPr>
        <w:t xml:space="preserve">Więcej informacji na: </w:t>
      </w:r>
      <w:r w:rsidRPr="0099402C">
        <w:rPr>
          <w:rStyle w:val="Hyperlink0"/>
          <w:rFonts w:asciiTheme="majorHAnsi" w:hAnsiTheme="majorHAnsi" w:cstheme="majorHAnsi"/>
          <w:sz w:val="18"/>
          <w:szCs w:val="18"/>
        </w:rPr>
        <w:t>www.emmerson-evaluation.pl</w:t>
      </w:r>
      <w:r w:rsidRPr="0099402C">
        <w:rPr>
          <w:rFonts w:asciiTheme="majorHAnsi" w:eastAsia="Calibri Light" w:hAnsiTheme="majorHAnsi" w:cstheme="majorHAnsi"/>
          <w:sz w:val="18"/>
          <w:szCs w:val="18"/>
        </w:rPr>
        <w:t xml:space="preserve">. </w:t>
      </w:r>
    </w:p>
    <w:p w14:paraId="22DF2666" w14:textId="5F87A26C" w:rsidR="00781265" w:rsidRDefault="00781265" w:rsidP="00781265">
      <w:pPr>
        <w:spacing w:before="120" w:after="0"/>
        <w:jc w:val="both"/>
        <w:rPr>
          <w:rFonts w:asciiTheme="majorHAnsi" w:hAnsiTheme="majorHAnsi" w:cstheme="majorHAnsi"/>
          <w:sz w:val="18"/>
          <w:szCs w:val="20"/>
        </w:rPr>
      </w:pPr>
      <w:r w:rsidRPr="005A1033">
        <w:rPr>
          <w:rFonts w:asciiTheme="majorHAnsi" w:eastAsia="Calibri Light" w:hAnsiTheme="majorHAnsi" w:cstheme="majorHAnsi"/>
          <w:b/>
          <w:sz w:val="18"/>
          <w:szCs w:val="20"/>
        </w:rPr>
        <w:t>Evaluer Sp. z o.o</w:t>
      </w:r>
      <w:r w:rsidR="005A1033" w:rsidRPr="005A1033">
        <w:rPr>
          <w:rFonts w:asciiTheme="majorHAnsi" w:eastAsia="Calibri Light" w:hAnsiTheme="majorHAnsi" w:cstheme="majorHAnsi"/>
          <w:sz w:val="18"/>
          <w:szCs w:val="20"/>
        </w:rPr>
        <w:t xml:space="preserve">. </w:t>
      </w:r>
      <w:r w:rsidR="005A1033" w:rsidRPr="005A1033">
        <w:rPr>
          <w:rFonts w:asciiTheme="majorHAnsi" w:hAnsiTheme="majorHAnsi" w:cstheme="majorHAnsi"/>
          <w:sz w:val="18"/>
          <w:szCs w:val="20"/>
        </w:rPr>
        <w:t>jest spółką celową utworzoną w lipcu 2019 r. w wyniku zmian organizacy</w:t>
      </w:r>
      <w:r w:rsidR="005A1033">
        <w:rPr>
          <w:rFonts w:asciiTheme="majorHAnsi" w:hAnsiTheme="majorHAnsi" w:cstheme="majorHAnsi"/>
          <w:sz w:val="18"/>
          <w:szCs w:val="20"/>
        </w:rPr>
        <w:t>jnych w Emmerson Evaluation Sp. </w:t>
      </w:r>
      <w:r w:rsidR="005A1033" w:rsidRPr="005A1033">
        <w:rPr>
          <w:rFonts w:asciiTheme="majorHAnsi" w:hAnsiTheme="majorHAnsi" w:cstheme="majorHAnsi"/>
          <w:sz w:val="18"/>
          <w:szCs w:val="20"/>
        </w:rPr>
        <w:t xml:space="preserve">z.o.o. polegających na wydzieleniu ze spółki Emmerson Evaluation Sp. z o. o. zorganizowanej części przedsiębiorstwa świadczącej usługi w zakresie udostępniania Bazy Danych Transakcyjnych EVALUER oraz raportów analitycznych dotyczących </w:t>
      </w:r>
      <w:r w:rsidR="005A1033" w:rsidRPr="005A1033">
        <w:rPr>
          <w:rFonts w:asciiTheme="majorHAnsi" w:hAnsiTheme="majorHAnsi" w:cstheme="majorHAnsi"/>
          <w:sz w:val="18"/>
          <w:szCs w:val="20"/>
        </w:rPr>
        <w:lastRenderedPageBreak/>
        <w:t>różnych segmentów rynku nieruchomości. Emmerson Evaluation Sp. z o.o. posiada 100% udziałów w spółce Evaluer Sp. z o.o. Obszar działalności Evaluer Sp. z o.o. obejmuje sporządzanie raportów i analiz z zakresu rynku nieruchomości na podstawie danych pozyskanych od deweloperów, a także gromadzonych w Bazie Danych EVALUER oraz monitoringu rynku pierwotnego w głównych miastach Polski. Ponadto spółka zajmuje się prowadzeniem i udostępnianiem Bazy Danych EVALUER zawierającej dane transakcyjne z rynku nieruchomości (obecnie ponad 1 600 000 transakcji z obszaru całego kraju).</w:t>
      </w:r>
    </w:p>
    <w:p w14:paraId="716EFEF2" w14:textId="165113CC" w:rsidR="005A1033" w:rsidRPr="005A1033" w:rsidRDefault="005A1033" w:rsidP="00781265">
      <w:pPr>
        <w:spacing w:before="120" w:after="0"/>
        <w:jc w:val="both"/>
        <w:rPr>
          <w:rFonts w:asciiTheme="majorHAnsi" w:eastAsia="Calibri Light" w:hAnsiTheme="majorHAnsi" w:cstheme="majorHAnsi"/>
          <w:sz w:val="18"/>
          <w:szCs w:val="20"/>
        </w:rPr>
      </w:pPr>
      <w:r>
        <w:rPr>
          <w:rFonts w:asciiTheme="majorHAnsi" w:hAnsiTheme="majorHAnsi" w:cstheme="majorHAnsi"/>
          <w:sz w:val="18"/>
          <w:szCs w:val="20"/>
        </w:rPr>
        <w:t xml:space="preserve">Więcej informacji na: </w:t>
      </w:r>
      <w:hyperlink r:id="rId11" w:history="1">
        <w:r w:rsidRPr="005A1033">
          <w:rPr>
            <w:rStyle w:val="Hipercze"/>
            <w:rFonts w:asciiTheme="majorHAnsi" w:hAnsiTheme="majorHAnsi" w:cstheme="majorHAnsi"/>
            <w:sz w:val="18"/>
            <w:szCs w:val="20"/>
          </w:rPr>
          <w:t>evaluer.pl</w:t>
        </w:r>
      </w:hyperlink>
    </w:p>
    <w:p w14:paraId="23DE6225" w14:textId="0B5E1F43" w:rsidR="0064153F" w:rsidRPr="005A1033" w:rsidRDefault="00232D0F" w:rsidP="005A1033">
      <w:pPr>
        <w:spacing w:before="120" w:after="0"/>
        <w:jc w:val="center"/>
        <w:rPr>
          <w:rFonts w:asciiTheme="majorHAnsi" w:eastAsia="Calibri Light" w:hAnsiTheme="majorHAnsi" w:cstheme="majorHAnsi"/>
          <w:b/>
          <w:sz w:val="20"/>
          <w:szCs w:val="18"/>
        </w:rPr>
      </w:pPr>
      <w:r w:rsidRPr="0064153F">
        <w:rPr>
          <w:rFonts w:asciiTheme="majorHAnsi" w:eastAsia="Calibri Light" w:hAnsiTheme="majorHAnsi" w:cstheme="majorHAnsi"/>
          <w:b/>
          <w:sz w:val="20"/>
          <w:szCs w:val="18"/>
        </w:rPr>
        <w:t>***</w:t>
      </w:r>
    </w:p>
    <w:p w14:paraId="2DEDC5C1" w14:textId="77777777" w:rsidR="00273F9C" w:rsidRPr="0064153F" w:rsidRDefault="00273F9C" w:rsidP="00123F35">
      <w:pPr>
        <w:spacing w:before="120" w:after="0"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64153F">
        <w:rPr>
          <w:rFonts w:asciiTheme="majorHAnsi" w:eastAsia="Calibri Light" w:hAnsiTheme="majorHAnsi" w:cstheme="majorHAnsi"/>
          <w:sz w:val="20"/>
          <w:szCs w:val="20"/>
        </w:rPr>
        <w:t>Kontakt dla mediów:</w:t>
      </w:r>
    </w:p>
    <w:p w14:paraId="2567D8FE" w14:textId="77777777" w:rsidR="0064153F" w:rsidRDefault="0064153F" w:rsidP="0099402C">
      <w:pPr>
        <w:spacing w:after="0"/>
        <w:jc w:val="both"/>
        <w:rPr>
          <w:rFonts w:asciiTheme="majorHAnsi" w:eastAsia="Calibri Light" w:hAnsiTheme="majorHAnsi" w:cstheme="majorHAnsi"/>
          <w:b/>
          <w:bCs/>
          <w:color w:val="000000"/>
          <w:sz w:val="20"/>
          <w:szCs w:val="20"/>
        </w:rPr>
      </w:pPr>
    </w:p>
    <w:p w14:paraId="15C8517C" w14:textId="77777777" w:rsidR="00273F9C" w:rsidRPr="0064153F" w:rsidRDefault="00273F9C" w:rsidP="0099402C">
      <w:pPr>
        <w:spacing w:after="0"/>
        <w:jc w:val="both"/>
        <w:rPr>
          <w:rFonts w:asciiTheme="majorHAnsi" w:eastAsia="Calibri Light" w:hAnsiTheme="majorHAnsi" w:cstheme="majorHAnsi"/>
          <w:b/>
          <w:bCs/>
          <w:color w:val="000000"/>
          <w:sz w:val="20"/>
          <w:szCs w:val="20"/>
        </w:rPr>
      </w:pPr>
      <w:r w:rsidRPr="0064153F">
        <w:rPr>
          <w:rFonts w:asciiTheme="majorHAnsi" w:eastAsia="Calibri Light" w:hAnsiTheme="majorHAnsi" w:cstheme="majorHAnsi"/>
          <w:b/>
          <w:bCs/>
          <w:color w:val="000000"/>
          <w:sz w:val="20"/>
          <w:szCs w:val="20"/>
        </w:rPr>
        <w:t>Agnieszka Smużewska</w:t>
      </w:r>
    </w:p>
    <w:p w14:paraId="40EAC9C1" w14:textId="77777777" w:rsidR="00273F9C" w:rsidRPr="0064153F" w:rsidRDefault="00273F9C" w:rsidP="0099402C">
      <w:pPr>
        <w:spacing w:after="0"/>
        <w:jc w:val="both"/>
        <w:rPr>
          <w:rFonts w:asciiTheme="majorHAnsi" w:eastAsia="Calibri Light" w:hAnsiTheme="majorHAnsi" w:cstheme="majorHAnsi"/>
          <w:color w:val="000000"/>
          <w:sz w:val="20"/>
          <w:szCs w:val="20"/>
        </w:rPr>
      </w:pPr>
      <w:r w:rsidRPr="0064153F">
        <w:rPr>
          <w:rFonts w:asciiTheme="majorHAnsi" w:eastAsia="Calibri Light" w:hAnsiTheme="majorHAnsi" w:cstheme="majorHAnsi"/>
          <w:b/>
          <w:bCs/>
          <w:color w:val="000000"/>
          <w:sz w:val="20"/>
          <w:szCs w:val="20"/>
        </w:rPr>
        <w:t>m:</w:t>
      </w:r>
      <w:r w:rsidRPr="0064153F">
        <w:rPr>
          <w:rFonts w:asciiTheme="majorHAnsi" w:eastAsia="Calibri Light" w:hAnsiTheme="majorHAnsi" w:cstheme="majorHAnsi"/>
          <w:color w:val="000000"/>
          <w:sz w:val="20"/>
          <w:szCs w:val="20"/>
        </w:rPr>
        <w:t xml:space="preserve"> +48 517 077 554</w:t>
      </w:r>
    </w:p>
    <w:p w14:paraId="5ACFF64B" w14:textId="31E47161" w:rsidR="0064153F" w:rsidRPr="0064153F" w:rsidRDefault="00273F9C" w:rsidP="00232D0F">
      <w:pPr>
        <w:spacing w:after="0"/>
        <w:jc w:val="both"/>
        <w:rPr>
          <w:rFonts w:asciiTheme="majorHAnsi" w:eastAsia="Calibri Light" w:hAnsiTheme="majorHAnsi" w:cstheme="majorHAnsi"/>
          <w:sz w:val="20"/>
          <w:szCs w:val="20"/>
          <w:lang w:val="de-DE"/>
        </w:rPr>
      </w:pPr>
      <w:r w:rsidRPr="0064153F">
        <w:rPr>
          <w:rFonts w:asciiTheme="majorHAnsi" w:eastAsia="Calibri Light" w:hAnsiTheme="majorHAnsi" w:cstheme="majorHAnsi"/>
          <w:b/>
          <w:bCs/>
          <w:color w:val="000000"/>
          <w:sz w:val="20"/>
          <w:szCs w:val="20"/>
          <w:lang w:val="de-DE"/>
        </w:rPr>
        <w:t>e:</w:t>
      </w:r>
      <w:r w:rsidRPr="0064153F">
        <w:rPr>
          <w:rFonts w:asciiTheme="majorHAnsi" w:eastAsia="Calibri Light" w:hAnsiTheme="majorHAnsi" w:cstheme="majorHAnsi"/>
          <w:color w:val="000000"/>
          <w:sz w:val="20"/>
          <w:szCs w:val="20"/>
          <w:lang w:val="de-DE"/>
        </w:rPr>
        <w:t xml:space="preserve"> </w:t>
      </w:r>
      <w:hyperlink r:id="rId12" w:history="1">
        <w:r w:rsidR="0064153F" w:rsidRPr="0064153F">
          <w:rPr>
            <w:rStyle w:val="Hipercze"/>
            <w:rFonts w:asciiTheme="majorHAnsi" w:eastAsia="Calibri Light" w:hAnsiTheme="majorHAnsi" w:cstheme="majorHAnsi"/>
            <w:color w:val="auto"/>
            <w:sz w:val="20"/>
            <w:szCs w:val="20"/>
            <w:u w:val="none"/>
            <w:lang w:val="de-DE"/>
          </w:rPr>
          <w:t>agnieszka.smuzewska@zoom-bsc.pl</w:t>
        </w:r>
      </w:hyperlink>
      <w:bookmarkStart w:id="0" w:name="_GoBack"/>
      <w:bookmarkEnd w:id="0"/>
    </w:p>
    <w:p w14:paraId="5B33DCEA" w14:textId="6FAED473" w:rsidR="0064153F" w:rsidRPr="00D13259" w:rsidRDefault="0064153F" w:rsidP="0064153F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D13259">
        <w:rPr>
          <w:rFonts w:asciiTheme="majorHAnsi" w:hAnsiTheme="majorHAnsi" w:cstheme="majorHAnsi"/>
          <w:sz w:val="20"/>
          <w:szCs w:val="20"/>
        </w:rPr>
        <w:t>lub</w:t>
      </w:r>
    </w:p>
    <w:p w14:paraId="3B3C1D4A" w14:textId="034DD011" w:rsidR="0064153F" w:rsidRPr="00D13259" w:rsidRDefault="0064153F" w:rsidP="0064153F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3259">
        <w:rPr>
          <w:rFonts w:asciiTheme="majorHAnsi" w:hAnsiTheme="majorHAnsi" w:cstheme="majorHAnsi"/>
          <w:b/>
          <w:sz w:val="20"/>
          <w:szCs w:val="20"/>
        </w:rPr>
        <w:t>Klaudia Łoś</w:t>
      </w:r>
    </w:p>
    <w:p w14:paraId="4E1FBC10" w14:textId="77777777" w:rsidR="0064153F" w:rsidRPr="00D13259" w:rsidRDefault="0064153F" w:rsidP="0064153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13259">
        <w:rPr>
          <w:rFonts w:asciiTheme="majorHAnsi" w:hAnsiTheme="majorHAnsi" w:cstheme="majorHAnsi"/>
          <w:b/>
          <w:sz w:val="20"/>
          <w:szCs w:val="20"/>
        </w:rPr>
        <w:t>m:</w:t>
      </w:r>
      <w:r w:rsidRPr="00D13259">
        <w:rPr>
          <w:rFonts w:asciiTheme="majorHAnsi" w:hAnsiTheme="majorHAnsi" w:cstheme="majorHAnsi"/>
          <w:sz w:val="20"/>
          <w:szCs w:val="20"/>
        </w:rPr>
        <w:t xml:space="preserve"> +48 534 011 711</w:t>
      </w:r>
    </w:p>
    <w:p w14:paraId="19607077" w14:textId="327E8835" w:rsidR="0064153F" w:rsidRPr="00D13259" w:rsidRDefault="0064153F" w:rsidP="0064153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13259">
        <w:rPr>
          <w:rFonts w:asciiTheme="majorHAnsi" w:hAnsiTheme="majorHAnsi" w:cstheme="majorHAnsi"/>
          <w:b/>
          <w:sz w:val="20"/>
          <w:szCs w:val="20"/>
        </w:rPr>
        <w:t>e:</w:t>
      </w:r>
      <w:r w:rsidRPr="00D13259">
        <w:rPr>
          <w:rFonts w:asciiTheme="majorHAnsi" w:hAnsiTheme="majorHAnsi" w:cstheme="majorHAnsi"/>
          <w:sz w:val="20"/>
          <w:szCs w:val="20"/>
        </w:rPr>
        <w:t xml:space="preserve"> klaudia.los@zoom-bsc.pl</w:t>
      </w:r>
    </w:p>
    <w:sectPr w:rsidR="0064153F" w:rsidRPr="00D13259" w:rsidSect="003E3A6E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709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AC688" w16cid:durableId="230B34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9FEB" w14:textId="77777777" w:rsidR="00EB49EB" w:rsidRDefault="00EB49EB" w:rsidP="00E96844">
      <w:pPr>
        <w:spacing w:after="0" w:line="240" w:lineRule="auto"/>
      </w:pPr>
      <w:r>
        <w:separator/>
      </w:r>
    </w:p>
  </w:endnote>
  <w:endnote w:type="continuationSeparator" w:id="0">
    <w:p w14:paraId="14C72C76" w14:textId="77777777" w:rsidR="00EB49EB" w:rsidRDefault="00EB49EB" w:rsidP="00E9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75069514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D6CF737" w14:textId="77777777" w:rsidR="001D1D1A" w:rsidRDefault="001D1D1A" w:rsidP="005D65E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854F164" w14:textId="77777777" w:rsidR="001D1D1A" w:rsidRDefault="001D1D1A" w:rsidP="008855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752365"/>
      <w:docPartObj>
        <w:docPartGallery w:val="Page Numbers (Bottom of Page)"/>
        <w:docPartUnique/>
      </w:docPartObj>
    </w:sdtPr>
    <w:sdtEndPr/>
    <w:sdtContent>
      <w:p w14:paraId="59074C2F" w14:textId="63A53C57" w:rsidR="001D1D1A" w:rsidRDefault="001D1D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033">
          <w:rPr>
            <w:noProof/>
          </w:rPr>
          <w:t>4</w:t>
        </w:r>
        <w:r>
          <w:fldChar w:fldCharType="end"/>
        </w:r>
      </w:p>
    </w:sdtContent>
  </w:sdt>
  <w:p w14:paraId="113F3C6F" w14:textId="77777777" w:rsidR="001D1D1A" w:rsidRDefault="001D1D1A" w:rsidP="008855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B422" w14:textId="77777777" w:rsidR="00EB49EB" w:rsidRDefault="00EB49EB" w:rsidP="00E96844">
      <w:pPr>
        <w:spacing w:after="0" w:line="240" w:lineRule="auto"/>
      </w:pPr>
      <w:r>
        <w:separator/>
      </w:r>
    </w:p>
  </w:footnote>
  <w:footnote w:type="continuationSeparator" w:id="0">
    <w:p w14:paraId="6C56BC9C" w14:textId="77777777" w:rsidR="00EB49EB" w:rsidRDefault="00EB49EB" w:rsidP="00E9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9226" w14:textId="77777777" w:rsidR="001D1D1A" w:rsidRDefault="001D1D1A" w:rsidP="00E968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27DC6" wp14:editId="51EFDF42">
          <wp:extent cx="1577975" cy="885825"/>
          <wp:effectExtent l="0" t="0" r="3175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9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90163" w14:textId="77777777" w:rsidR="001D1D1A" w:rsidRDefault="001D1D1A" w:rsidP="00E968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68AF"/>
    <w:multiLevelType w:val="hybridMultilevel"/>
    <w:tmpl w:val="7C6A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0706"/>
    <w:multiLevelType w:val="hybridMultilevel"/>
    <w:tmpl w:val="258C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24"/>
    <w:rsid w:val="00001E76"/>
    <w:rsid w:val="00002B29"/>
    <w:rsid w:val="000069F4"/>
    <w:rsid w:val="000227D2"/>
    <w:rsid w:val="00024DE1"/>
    <w:rsid w:val="00036BF8"/>
    <w:rsid w:val="000466E1"/>
    <w:rsid w:val="000468A6"/>
    <w:rsid w:val="000539B6"/>
    <w:rsid w:val="000579B8"/>
    <w:rsid w:val="000632D5"/>
    <w:rsid w:val="00064C58"/>
    <w:rsid w:val="00073F84"/>
    <w:rsid w:val="00074BF4"/>
    <w:rsid w:val="00074D41"/>
    <w:rsid w:val="000767DD"/>
    <w:rsid w:val="00076EC0"/>
    <w:rsid w:val="000770AC"/>
    <w:rsid w:val="0008282A"/>
    <w:rsid w:val="00090EF8"/>
    <w:rsid w:val="0009753E"/>
    <w:rsid w:val="000A1B79"/>
    <w:rsid w:val="000A2014"/>
    <w:rsid w:val="000A29F5"/>
    <w:rsid w:val="000A2A3E"/>
    <w:rsid w:val="000B2230"/>
    <w:rsid w:val="000B2C1C"/>
    <w:rsid w:val="000C0374"/>
    <w:rsid w:val="000C0A3C"/>
    <w:rsid w:val="000C0CE6"/>
    <w:rsid w:val="000C2682"/>
    <w:rsid w:val="000C33F0"/>
    <w:rsid w:val="000D10CF"/>
    <w:rsid w:val="000D21DC"/>
    <w:rsid w:val="000D5B70"/>
    <w:rsid w:val="000E4E1E"/>
    <w:rsid w:val="000E520B"/>
    <w:rsid w:val="000F1B0E"/>
    <w:rsid w:val="000F5E35"/>
    <w:rsid w:val="00100F24"/>
    <w:rsid w:val="001011B5"/>
    <w:rsid w:val="00104370"/>
    <w:rsid w:val="001065B0"/>
    <w:rsid w:val="0011028A"/>
    <w:rsid w:val="001108DF"/>
    <w:rsid w:val="00112148"/>
    <w:rsid w:val="00112F77"/>
    <w:rsid w:val="0011631C"/>
    <w:rsid w:val="00123F35"/>
    <w:rsid w:val="00126B00"/>
    <w:rsid w:val="001277B5"/>
    <w:rsid w:val="00143B95"/>
    <w:rsid w:val="001476CE"/>
    <w:rsid w:val="001505A6"/>
    <w:rsid w:val="00153F73"/>
    <w:rsid w:val="0015480F"/>
    <w:rsid w:val="001601EF"/>
    <w:rsid w:val="001605A7"/>
    <w:rsid w:val="00161473"/>
    <w:rsid w:val="001676FA"/>
    <w:rsid w:val="00176D52"/>
    <w:rsid w:val="00176E01"/>
    <w:rsid w:val="00177599"/>
    <w:rsid w:val="00187452"/>
    <w:rsid w:val="00192779"/>
    <w:rsid w:val="001A3940"/>
    <w:rsid w:val="001A3F5F"/>
    <w:rsid w:val="001A45F2"/>
    <w:rsid w:val="001B2C45"/>
    <w:rsid w:val="001B482C"/>
    <w:rsid w:val="001B4990"/>
    <w:rsid w:val="001C033B"/>
    <w:rsid w:val="001C49D8"/>
    <w:rsid w:val="001D14C1"/>
    <w:rsid w:val="001D1501"/>
    <w:rsid w:val="001D1D1A"/>
    <w:rsid w:val="001D331A"/>
    <w:rsid w:val="001D474A"/>
    <w:rsid w:val="001E5117"/>
    <w:rsid w:val="001F11F9"/>
    <w:rsid w:val="001F1E37"/>
    <w:rsid w:val="001F2687"/>
    <w:rsid w:val="001F66A3"/>
    <w:rsid w:val="00202832"/>
    <w:rsid w:val="00204C0E"/>
    <w:rsid w:val="00232D0F"/>
    <w:rsid w:val="00232EB7"/>
    <w:rsid w:val="00233C2C"/>
    <w:rsid w:val="00244D70"/>
    <w:rsid w:val="00252112"/>
    <w:rsid w:val="00254FF4"/>
    <w:rsid w:val="00256FC1"/>
    <w:rsid w:val="00266EC4"/>
    <w:rsid w:val="002707BD"/>
    <w:rsid w:val="00273F9C"/>
    <w:rsid w:val="002769DC"/>
    <w:rsid w:val="0028534C"/>
    <w:rsid w:val="0028722F"/>
    <w:rsid w:val="00290858"/>
    <w:rsid w:val="0029089F"/>
    <w:rsid w:val="0029266E"/>
    <w:rsid w:val="002A23D1"/>
    <w:rsid w:val="002A419D"/>
    <w:rsid w:val="002B3BE3"/>
    <w:rsid w:val="002B42EE"/>
    <w:rsid w:val="002B5857"/>
    <w:rsid w:val="002B776F"/>
    <w:rsid w:val="002C50E9"/>
    <w:rsid w:val="002D3011"/>
    <w:rsid w:val="002E4140"/>
    <w:rsid w:val="002F1D10"/>
    <w:rsid w:val="002F4AB1"/>
    <w:rsid w:val="00300699"/>
    <w:rsid w:val="00303B99"/>
    <w:rsid w:val="00305086"/>
    <w:rsid w:val="003101CC"/>
    <w:rsid w:val="00310CA7"/>
    <w:rsid w:val="003114E9"/>
    <w:rsid w:val="0031345E"/>
    <w:rsid w:val="0031749F"/>
    <w:rsid w:val="00320236"/>
    <w:rsid w:val="00320EAF"/>
    <w:rsid w:val="003300C6"/>
    <w:rsid w:val="00331EF5"/>
    <w:rsid w:val="0034041C"/>
    <w:rsid w:val="00340564"/>
    <w:rsid w:val="00340A53"/>
    <w:rsid w:val="00343275"/>
    <w:rsid w:val="0034343C"/>
    <w:rsid w:val="00347F96"/>
    <w:rsid w:val="00350386"/>
    <w:rsid w:val="0035211D"/>
    <w:rsid w:val="003532E1"/>
    <w:rsid w:val="0035341D"/>
    <w:rsid w:val="003552BA"/>
    <w:rsid w:val="0036363B"/>
    <w:rsid w:val="003649AE"/>
    <w:rsid w:val="0036723B"/>
    <w:rsid w:val="00370473"/>
    <w:rsid w:val="003750D7"/>
    <w:rsid w:val="0037767B"/>
    <w:rsid w:val="00380F04"/>
    <w:rsid w:val="00381BEE"/>
    <w:rsid w:val="00393D5C"/>
    <w:rsid w:val="0039421F"/>
    <w:rsid w:val="0039576F"/>
    <w:rsid w:val="003976A4"/>
    <w:rsid w:val="003A0B1E"/>
    <w:rsid w:val="003A0E9B"/>
    <w:rsid w:val="003B0115"/>
    <w:rsid w:val="003B06C6"/>
    <w:rsid w:val="003B3ECB"/>
    <w:rsid w:val="003B4247"/>
    <w:rsid w:val="003C0765"/>
    <w:rsid w:val="003D19B9"/>
    <w:rsid w:val="003D19DD"/>
    <w:rsid w:val="003D707B"/>
    <w:rsid w:val="003E0CEE"/>
    <w:rsid w:val="003E3A6E"/>
    <w:rsid w:val="003E6014"/>
    <w:rsid w:val="003F0D20"/>
    <w:rsid w:val="003F1E43"/>
    <w:rsid w:val="003F412C"/>
    <w:rsid w:val="003F5182"/>
    <w:rsid w:val="003F6042"/>
    <w:rsid w:val="00403B1A"/>
    <w:rsid w:val="00413376"/>
    <w:rsid w:val="004134E0"/>
    <w:rsid w:val="00424C75"/>
    <w:rsid w:val="00426283"/>
    <w:rsid w:val="0044069D"/>
    <w:rsid w:val="004429E4"/>
    <w:rsid w:val="00443BDD"/>
    <w:rsid w:val="00454F54"/>
    <w:rsid w:val="0045592E"/>
    <w:rsid w:val="00456E4E"/>
    <w:rsid w:val="00457056"/>
    <w:rsid w:val="00470A5B"/>
    <w:rsid w:val="004767CE"/>
    <w:rsid w:val="00476F28"/>
    <w:rsid w:val="00484B48"/>
    <w:rsid w:val="00485E57"/>
    <w:rsid w:val="0049437A"/>
    <w:rsid w:val="00494F38"/>
    <w:rsid w:val="0049652E"/>
    <w:rsid w:val="00497B7A"/>
    <w:rsid w:val="004A072B"/>
    <w:rsid w:val="004A152B"/>
    <w:rsid w:val="004A2747"/>
    <w:rsid w:val="004C6CB7"/>
    <w:rsid w:val="004D2079"/>
    <w:rsid w:val="004D39A0"/>
    <w:rsid w:val="004D7646"/>
    <w:rsid w:val="004D7659"/>
    <w:rsid w:val="004E4EC8"/>
    <w:rsid w:val="004E723B"/>
    <w:rsid w:val="004F1331"/>
    <w:rsid w:val="004F4C06"/>
    <w:rsid w:val="004F5A3B"/>
    <w:rsid w:val="004F78E4"/>
    <w:rsid w:val="00505EC6"/>
    <w:rsid w:val="00511306"/>
    <w:rsid w:val="00511313"/>
    <w:rsid w:val="00512159"/>
    <w:rsid w:val="00524B5E"/>
    <w:rsid w:val="00527947"/>
    <w:rsid w:val="005306D5"/>
    <w:rsid w:val="00532693"/>
    <w:rsid w:val="00541834"/>
    <w:rsid w:val="00541A24"/>
    <w:rsid w:val="005438F4"/>
    <w:rsid w:val="0054408C"/>
    <w:rsid w:val="00550287"/>
    <w:rsid w:val="00556072"/>
    <w:rsid w:val="00572F70"/>
    <w:rsid w:val="00587C76"/>
    <w:rsid w:val="00593BE9"/>
    <w:rsid w:val="0059619D"/>
    <w:rsid w:val="005A1033"/>
    <w:rsid w:val="005A1A05"/>
    <w:rsid w:val="005A1E55"/>
    <w:rsid w:val="005B0788"/>
    <w:rsid w:val="005B2A50"/>
    <w:rsid w:val="005B5397"/>
    <w:rsid w:val="005C1F1C"/>
    <w:rsid w:val="005C1FBA"/>
    <w:rsid w:val="005C4F76"/>
    <w:rsid w:val="005C5F19"/>
    <w:rsid w:val="005D147C"/>
    <w:rsid w:val="005D55F9"/>
    <w:rsid w:val="005D65E0"/>
    <w:rsid w:val="005D724B"/>
    <w:rsid w:val="005D7B8F"/>
    <w:rsid w:val="005E5722"/>
    <w:rsid w:val="005F144E"/>
    <w:rsid w:val="005F430E"/>
    <w:rsid w:val="005F46CA"/>
    <w:rsid w:val="005F6C50"/>
    <w:rsid w:val="005F6E36"/>
    <w:rsid w:val="006043D2"/>
    <w:rsid w:val="0060441B"/>
    <w:rsid w:val="00611DEF"/>
    <w:rsid w:val="00612227"/>
    <w:rsid w:val="00616CD4"/>
    <w:rsid w:val="0061718F"/>
    <w:rsid w:val="006205DA"/>
    <w:rsid w:val="006214D0"/>
    <w:rsid w:val="00621999"/>
    <w:rsid w:val="00624649"/>
    <w:rsid w:val="006268BF"/>
    <w:rsid w:val="00627F6B"/>
    <w:rsid w:val="0063527F"/>
    <w:rsid w:val="00636C52"/>
    <w:rsid w:val="0064153F"/>
    <w:rsid w:val="00642888"/>
    <w:rsid w:val="00647D91"/>
    <w:rsid w:val="00657584"/>
    <w:rsid w:val="00657F7F"/>
    <w:rsid w:val="0066409F"/>
    <w:rsid w:val="00664C6B"/>
    <w:rsid w:val="006743D0"/>
    <w:rsid w:val="0067574C"/>
    <w:rsid w:val="00677B57"/>
    <w:rsid w:val="006804C0"/>
    <w:rsid w:val="00681E03"/>
    <w:rsid w:val="00683533"/>
    <w:rsid w:val="00686B74"/>
    <w:rsid w:val="00687186"/>
    <w:rsid w:val="00690D1D"/>
    <w:rsid w:val="0069488A"/>
    <w:rsid w:val="006A6FD3"/>
    <w:rsid w:val="006B7F97"/>
    <w:rsid w:val="006C467C"/>
    <w:rsid w:val="006D26F8"/>
    <w:rsid w:val="006E0CF6"/>
    <w:rsid w:val="006E253E"/>
    <w:rsid w:val="006F0729"/>
    <w:rsid w:val="006F08E8"/>
    <w:rsid w:val="006F19B1"/>
    <w:rsid w:val="007011DE"/>
    <w:rsid w:val="007029EE"/>
    <w:rsid w:val="00702BCF"/>
    <w:rsid w:val="007036D1"/>
    <w:rsid w:val="00703F2E"/>
    <w:rsid w:val="0070464F"/>
    <w:rsid w:val="00704FE8"/>
    <w:rsid w:val="00710A88"/>
    <w:rsid w:val="0071535D"/>
    <w:rsid w:val="007154C4"/>
    <w:rsid w:val="00716A99"/>
    <w:rsid w:val="00717138"/>
    <w:rsid w:val="00721D6D"/>
    <w:rsid w:val="007256C3"/>
    <w:rsid w:val="00727158"/>
    <w:rsid w:val="00732771"/>
    <w:rsid w:val="0074053D"/>
    <w:rsid w:val="00743ED5"/>
    <w:rsid w:val="00750F04"/>
    <w:rsid w:val="00763E12"/>
    <w:rsid w:val="00772772"/>
    <w:rsid w:val="00776152"/>
    <w:rsid w:val="0078110C"/>
    <w:rsid w:val="00781265"/>
    <w:rsid w:val="00782FB1"/>
    <w:rsid w:val="00784863"/>
    <w:rsid w:val="00784D60"/>
    <w:rsid w:val="00785569"/>
    <w:rsid w:val="0078799D"/>
    <w:rsid w:val="00793442"/>
    <w:rsid w:val="00796DAF"/>
    <w:rsid w:val="007A3E43"/>
    <w:rsid w:val="007B137A"/>
    <w:rsid w:val="007B639B"/>
    <w:rsid w:val="007C136C"/>
    <w:rsid w:val="007C5959"/>
    <w:rsid w:val="007C776B"/>
    <w:rsid w:val="007D24C0"/>
    <w:rsid w:val="007D3146"/>
    <w:rsid w:val="007E019F"/>
    <w:rsid w:val="007E4610"/>
    <w:rsid w:val="007F03E7"/>
    <w:rsid w:val="007F3186"/>
    <w:rsid w:val="00800ECD"/>
    <w:rsid w:val="00801CBE"/>
    <w:rsid w:val="0080223B"/>
    <w:rsid w:val="008023AD"/>
    <w:rsid w:val="00802D92"/>
    <w:rsid w:val="00802DC1"/>
    <w:rsid w:val="008070CA"/>
    <w:rsid w:val="008076D0"/>
    <w:rsid w:val="00811371"/>
    <w:rsid w:val="00820399"/>
    <w:rsid w:val="00826BC6"/>
    <w:rsid w:val="0083344E"/>
    <w:rsid w:val="00836A6B"/>
    <w:rsid w:val="008441E3"/>
    <w:rsid w:val="0084440B"/>
    <w:rsid w:val="0084707C"/>
    <w:rsid w:val="008544CB"/>
    <w:rsid w:val="00856B6A"/>
    <w:rsid w:val="00861496"/>
    <w:rsid w:val="008621F7"/>
    <w:rsid w:val="008643A9"/>
    <w:rsid w:val="0086465B"/>
    <w:rsid w:val="0086479C"/>
    <w:rsid w:val="008668E0"/>
    <w:rsid w:val="00866BF6"/>
    <w:rsid w:val="008706FC"/>
    <w:rsid w:val="00872C91"/>
    <w:rsid w:val="00876472"/>
    <w:rsid w:val="00877ABF"/>
    <w:rsid w:val="00881301"/>
    <w:rsid w:val="0088553F"/>
    <w:rsid w:val="00892390"/>
    <w:rsid w:val="00893183"/>
    <w:rsid w:val="0089386D"/>
    <w:rsid w:val="00895820"/>
    <w:rsid w:val="008A21D1"/>
    <w:rsid w:val="008A52F2"/>
    <w:rsid w:val="008B428B"/>
    <w:rsid w:val="008B6A6C"/>
    <w:rsid w:val="008B6FA4"/>
    <w:rsid w:val="008D0AC3"/>
    <w:rsid w:val="008D0D73"/>
    <w:rsid w:val="008D2935"/>
    <w:rsid w:val="008D350B"/>
    <w:rsid w:val="008D4B8A"/>
    <w:rsid w:val="008E22A4"/>
    <w:rsid w:val="008E2C1D"/>
    <w:rsid w:val="008E5175"/>
    <w:rsid w:val="008F051D"/>
    <w:rsid w:val="008F1789"/>
    <w:rsid w:val="008F29F7"/>
    <w:rsid w:val="008F67B2"/>
    <w:rsid w:val="00902D7C"/>
    <w:rsid w:val="00906FDA"/>
    <w:rsid w:val="00913BBF"/>
    <w:rsid w:val="0092223B"/>
    <w:rsid w:val="00925894"/>
    <w:rsid w:val="0092643C"/>
    <w:rsid w:val="009303D6"/>
    <w:rsid w:val="009353EF"/>
    <w:rsid w:val="0094114B"/>
    <w:rsid w:val="009426EA"/>
    <w:rsid w:val="00942F7A"/>
    <w:rsid w:val="00962A50"/>
    <w:rsid w:val="00964656"/>
    <w:rsid w:val="00966E10"/>
    <w:rsid w:val="00970EE4"/>
    <w:rsid w:val="0097152C"/>
    <w:rsid w:val="00976BE3"/>
    <w:rsid w:val="00985148"/>
    <w:rsid w:val="00985636"/>
    <w:rsid w:val="00987ABD"/>
    <w:rsid w:val="0099402C"/>
    <w:rsid w:val="00995EDC"/>
    <w:rsid w:val="009B0692"/>
    <w:rsid w:val="009B4185"/>
    <w:rsid w:val="009C06B4"/>
    <w:rsid w:val="009C12D6"/>
    <w:rsid w:val="009C4BE5"/>
    <w:rsid w:val="009C7680"/>
    <w:rsid w:val="009E0C77"/>
    <w:rsid w:val="009E1EF0"/>
    <w:rsid w:val="009E6CB5"/>
    <w:rsid w:val="009F3F4E"/>
    <w:rsid w:val="009F6569"/>
    <w:rsid w:val="00A01426"/>
    <w:rsid w:val="00A038EA"/>
    <w:rsid w:val="00A04DBC"/>
    <w:rsid w:val="00A06FEB"/>
    <w:rsid w:val="00A22AB2"/>
    <w:rsid w:val="00A26D49"/>
    <w:rsid w:val="00A27DB3"/>
    <w:rsid w:val="00A3269E"/>
    <w:rsid w:val="00A35758"/>
    <w:rsid w:val="00A4205F"/>
    <w:rsid w:val="00A45167"/>
    <w:rsid w:val="00A5286D"/>
    <w:rsid w:val="00A61DBA"/>
    <w:rsid w:val="00A650AC"/>
    <w:rsid w:val="00A65451"/>
    <w:rsid w:val="00A66D94"/>
    <w:rsid w:val="00A67A6F"/>
    <w:rsid w:val="00A7268F"/>
    <w:rsid w:val="00A75865"/>
    <w:rsid w:val="00A76949"/>
    <w:rsid w:val="00A809BF"/>
    <w:rsid w:val="00A8241F"/>
    <w:rsid w:val="00A86C3D"/>
    <w:rsid w:val="00A964B2"/>
    <w:rsid w:val="00A96AA4"/>
    <w:rsid w:val="00AA53AF"/>
    <w:rsid w:val="00AB3895"/>
    <w:rsid w:val="00AB4140"/>
    <w:rsid w:val="00AB48E8"/>
    <w:rsid w:val="00AC6C67"/>
    <w:rsid w:val="00AD16BE"/>
    <w:rsid w:val="00AD6856"/>
    <w:rsid w:val="00AE00AF"/>
    <w:rsid w:val="00AE010B"/>
    <w:rsid w:val="00AF0D0D"/>
    <w:rsid w:val="00AF4771"/>
    <w:rsid w:val="00AF7EB0"/>
    <w:rsid w:val="00B004A7"/>
    <w:rsid w:val="00B017F3"/>
    <w:rsid w:val="00B075B5"/>
    <w:rsid w:val="00B12B56"/>
    <w:rsid w:val="00B1352A"/>
    <w:rsid w:val="00B13654"/>
    <w:rsid w:val="00B14EBB"/>
    <w:rsid w:val="00B20C7E"/>
    <w:rsid w:val="00B238F9"/>
    <w:rsid w:val="00B325D6"/>
    <w:rsid w:val="00B351F3"/>
    <w:rsid w:val="00B4079E"/>
    <w:rsid w:val="00B40D77"/>
    <w:rsid w:val="00B46413"/>
    <w:rsid w:val="00B55819"/>
    <w:rsid w:val="00B602B4"/>
    <w:rsid w:val="00B63967"/>
    <w:rsid w:val="00B65D8D"/>
    <w:rsid w:val="00B668B5"/>
    <w:rsid w:val="00B67267"/>
    <w:rsid w:val="00B74AA8"/>
    <w:rsid w:val="00B74D42"/>
    <w:rsid w:val="00B770E8"/>
    <w:rsid w:val="00B80085"/>
    <w:rsid w:val="00B8539C"/>
    <w:rsid w:val="00B90CF3"/>
    <w:rsid w:val="00B97633"/>
    <w:rsid w:val="00BA4F30"/>
    <w:rsid w:val="00BB2A8D"/>
    <w:rsid w:val="00BB3847"/>
    <w:rsid w:val="00BB511E"/>
    <w:rsid w:val="00BE05CF"/>
    <w:rsid w:val="00BF62EA"/>
    <w:rsid w:val="00C032E4"/>
    <w:rsid w:val="00C03B81"/>
    <w:rsid w:val="00C07B13"/>
    <w:rsid w:val="00C122EF"/>
    <w:rsid w:val="00C13BE1"/>
    <w:rsid w:val="00C15518"/>
    <w:rsid w:val="00C155C8"/>
    <w:rsid w:val="00C16462"/>
    <w:rsid w:val="00C16CA6"/>
    <w:rsid w:val="00C242AA"/>
    <w:rsid w:val="00C24B3B"/>
    <w:rsid w:val="00C26802"/>
    <w:rsid w:val="00C3199E"/>
    <w:rsid w:val="00C34BED"/>
    <w:rsid w:val="00C42269"/>
    <w:rsid w:val="00C43DA8"/>
    <w:rsid w:val="00C44110"/>
    <w:rsid w:val="00C61876"/>
    <w:rsid w:val="00C677FA"/>
    <w:rsid w:val="00C759F7"/>
    <w:rsid w:val="00C80724"/>
    <w:rsid w:val="00C871F5"/>
    <w:rsid w:val="00C961F5"/>
    <w:rsid w:val="00CA1642"/>
    <w:rsid w:val="00CA385F"/>
    <w:rsid w:val="00CB4016"/>
    <w:rsid w:val="00CB5AEA"/>
    <w:rsid w:val="00CB6225"/>
    <w:rsid w:val="00CC0AB5"/>
    <w:rsid w:val="00CC2DBF"/>
    <w:rsid w:val="00CD0440"/>
    <w:rsid w:val="00CD05AF"/>
    <w:rsid w:val="00CD08F2"/>
    <w:rsid w:val="00CD657E"/>
    <w:rsid w:val="00CE75B7"/>
    <w:rsid w:val="00D02565"/>
    <w:rsid w:val="00D07996"/>
    <w:rsid w:val="00D121D5"/>
    <w:rsid w:val="00D13259"/>
    <w:rsid w:val="00D20807"/>
    <w:rsid w:val="00D21FCA"/>
    <w:rsid w:val="00D325D2"/>
    <w:rsid w:val="00D337F4"/>
    <w:rsid w:val="00D35566"/>
    <w:rsid w:val="00D36D32"/>
    <w:rsid w:val="00D371A7"/>
    <w:rsid w:val="00D40E4C"/>
    <w:rsid w:val="00D4167F"/>
    <w:rsid w:val="00D42CC1"/>
    <w:rsid w:val="00D434C2"/>
    <w:rsid w:val="00D44BDD"/>
    <w:rsid w:val="00D550A5"/>
    <w:rsid w:val="00D6444D"/>
    <w:rsid w:val="00D6468C"/>
    <w:rsid w:val="00D70459"/>
    <w:rsid w:val="00D741D2"/>
    <w:rsid w:val="00D75AE9"/>
    <w:rsid w:val="00D80727"/>
    <w:rsid w:val="00D840D4"/>
    <w:rsid w:val="00D86277"/>
    <w:rsid w:val="00D93CF1"/>
    <w:rsid w:val="00D94391"/>
    <w:rsid w:val="00D95BB4"/>
    <w:rsid w:val="00D96525"/>
    <w:rsid w:val="00D96540"/>
    <w:rsid w:val="00DA0F81"/>
    <w:rsid w:val="00DA6386"/>
    <w:rsid w:val="00DB635B"/>
    <w:rsid w:val="00DC02EC"/>
    <w:rsid w:val="00DC2D22"/>
    <w:rsid w:val="00DC322E"/>
    <w:rsid w:val="00DC36E4"/>
    <w:rsid w:val="00DD587A"/>
    <w:rsid w:val="00DF21E0"/>
    <w:rsid w:val="00DF7E2E"/>
    <w:rsid w:val="00E009C4"/>
    <w:rsid w:val="00E03F1C"/>
    <w:rsid w:val="00E135BF"/>
    <w:rsid w:val="00E23AFD"/>
    <w:rsid w:val="00E24BA9"/>
    <w:rsid w:val="00E24C1E"/>
    <w:rsid w:val="00E30D45"/>
    <w:rsid w:val="00E35800"/>
    <w:rsid w:val="00E4044C"/>
    <w:rsid w:val="00E47B0B"/>
    <w:rsid w:val="00E52F9C"/>
    <w:rsid w:val="00E5384F"/>
    <w:rsid w:val="00E561B1"/>
    <w:rsid w:val="00E56A7D"/>
    <w:rsid w:val="00E625DA"/>
    <w:rsid w:val="00E63C08"/>
    <w:rsid w:val="00E9025A"/>
    <w:rsid w:val="00E9458F"/>
    <w:rsid w:val="00E964E3"/>
    <w:rsid w:val="00E96844"/>
    <w:rsid w:val="00E97A0C"/>
    <w:rsid w:val="00EA70E9"/>
    <w:rsid w:val="00EA7611"/>
    <w:rsid w:val="00EA7F83"/>
    <w:rsid w:val="00EB2DAC"/>
    <w:rsid w:val="00EB49EB"/>
    <w:rsid w:val="00EB51D9"/>
    <w:rsid w:val="00EC2461"/>
    <w:rsid w:val="00EC2F79"/>
    <w:rsid w:val="00ED09BC"/>
    <w:rsid w:val="00ED196D"/>
    <w:rsid w:val="00ED3099"/>
    <w:rsid w:val="00ED3CA5"/>
    <w:rsid w:val="00ED49C4"/>
    <w:rsid w:val="00EF38DD"/>
    <w:rsid w:val="00F077F7"/>
    <w:rsid w:val="00F10135"/>
    <w:rsid w:val="00F11661"/>
    <w:rsid w:val="00F12160"/>
    <w:rsid w:val="00F1757A"/>
    <w:rsid w:val="00F31130"/>
    <w:rsid w:val="00F42388"/>
    <w:rsid w:val="00F43011"/>
    <w:rsid w:val="00F51332"/>
    <w:rsid w:val="00F51988"/>
    <w:rsid w:val="00F5739E"/>
    <w:rsid w:val="00F57473"/>
    <w:rsid w:val="00F718D9"/>
    <w:rsid w:val="00F82C68"/>
    <w:rsid w:val="00F837F2"/>
    <w:rsid w:val="00F8470B"/>
    <w:rsid w:val="00F85EC2"/>
    <w:rsid w:val="00F92E4B"/>
    <w:rsid w:val="00F96F28"/>
    <w:rsid w:val="00F979AD"/>
    <w:rsid w:val="00FA5B0C"/>
    <w:rsid w:val="00FB71DB"/>
    <w:rsid w:val="00FC1DA0"/>
    <w:rsid w:val="00FC3661"/>
    <w:rsid w:val="00FC779C"/>
    <w:rsid w:val="00FD3E82"/>
    <w:rsid w:val="00FE1860"/>
    <w:rsid w:val="00FE1D16"/>
    <w:rsid w:val="00FE5BEB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D72F"/>
  <w15:chartTrackingRefBased/>
  <w15:docId w15:val="{94F50CBC-D6FA-47CE-98DB-68AB273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8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844"/>
  </w:style>
  <w:style w:type="paragraph" w:styleId="Stopka">
    <w:name w:val="footer"/>
    <w:basedOn w:val="Normalny"/>
    <w:link w:val="StopkaZnak"/>
    <w:uiPriority w:val="99"/>
    <w:unhideWhenUsed/>
    <w:rsid w:val="00E9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844"/>
  </w:style>
  <w:style w:type="paragraph" w:customStyle="1" w:styleId="Czgwna">
    <w:name w:val="Część główna"/>
    <w:rsid w:val="006A6FD3"/>
    <w:pPr>
      <w:spacing w:after="200" w:line="276" w:lineRule="auto"/>
      <w:jc w:val="both"/>
    </w:pPr>
    <w:rPr>
      <w:rFonts w:ascii="Calibri" w:eastAsia="Calibri" w:hAnsi="Calibri" w:cs="Calibri"/>
      <w:color w:val="000000"/>
      <w:u w:color="000000"/>
      <w:lang w:val="en-US" w:eastAsia="pl-PL"/>
    </w:rPr>
  </w:style>
  <w:style w:type="character" w:customStyle="1" w:styleId="Hyperlink0">
    <w:name w:val="Hyperlink.0"/>
    <w:basedOn w:val="Domylnaczcionkaakapitu"/>
    <w:rsid w:val="006A6FD3"/>
    <w:rPr>
      <w:rFonts w:ascii="Calibri Light" w:eastAsia="Calibri Light" w:hAnsi="Calibri Light" w:cs="Calibri Light" w:hint="default"/>
      <w:color w:val="0000FF"/>
      <w:sz w:val="20"/>
      <w:szCs w:val="20"/>
      <w:u w:val="single" w:color="0000FF"/>
    </w:rPr>
  </w:style>
  <w:style w:type="character" w:styleId="Numerstrony">
    <w:name w:val="page number"/>
    <w:basedOn w:val="Domylnaczcionkaakapitu"/>
    <w:uiPriority w:val="99"/>
    <w:semiHidden/>
    <w:unhideWhenUsed/>
    <w:rsid w:val="0088553F"/>
  </w:style>
  <w:style w:type="character" w:styleId="Hipercze">
    <w:name w:val="Hyperlink"/>
    <w:basedOn w:val="Domylnaczcionkaakapitu"/>
    <w:uiPriority w:val="99"/>
    <w:unhideWhenUsed/>
    <w:rsid w:val="00B238F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19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B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B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BE3"/>
    <w:rPr>
      <w:vertAlign w:val="superscript"/>
    </w:rPr>
  </w:style>
  <w:style w:type="paragraph" w:customStyle="1" w:styleId="NoParagraphStyle">
    <w:name w:val="[No Paragraph Style]"/>
    <w:rsid w:val="00C03B81"/>
    <w:pPr>
      <w:autoSpaceDE w:val="0"/>
      <w:autoSpaceDN w:val="0"/>
      <w:adjustRightInd w:val="0"/>
      <w:spacing w:after="0" w:line="288" w:lineRule="auto"/>
      <w:textAlignment w:val="center"/>
    </w:pPr>
    <w:rPr>
      <w:rFonts w:ascii="Open Sans Light" w:hAnsi="Open Sans Light" w:cs="Times New 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C03B81"/>
  </w:style>
  <w:style w:type="character" w:customStyle="1" w:styleId="txt">
    <w:name w:val="txt"/>
    <w:uiPriority w:val="99"/>
    <w:rsid w:val="00C03B81"/>
    <w:rPr>
      <w:rFonts w:ascii="Open Sans Light" w:hAnsi="Open Sans Light" w:cs="Open Sans Light"/>
      <w:color w:val="000000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C16CA6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6CA6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D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D0F"/>
    <w:rPr>
      <w:vertAlign w:val="superscript"/>
    </w:rPr>
  </w:style>
  <w:style w:type="paragraph" w:styleId="Bezodstpw">
    <w:name w:val="No Spacing"/>
    <w:uiPriority w:val="1"/>
    <w:qFormat/>
    <w:rsid w:val="005D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merson-evaluation.pl/wp-content/uploads/2021/04/raport-evaluer-index-2021.pdf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smuzewska@zoom-bs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aluer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merson-evaluation.pl/wp-content/uploads/2021/04/raport-evaluer-index-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B970-B2BA-4F3F-9ED1-5CCCFBEB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Emmerson Evaluation</dc:creator>
  <cp:keywords/>
  <dc:description/>
  <cp:lastModifiedBy>Agnieszka Smużewska</cp:lastModifiedBy>
  <cp:revision>8</cp:revision>
  <cp:lastPrinted>2018-08-07T10:51:00Z</cp:lastPrinted>
  <dcterms:created xsi:type="dcterms:W3CDTF">2021-04-13T11:52:00Z</dcterms:created>
  <dcterms:modified xsi:type="dcterms:W3CDTF">2021-04-14T07:31:00Z</dcterms:modified>
</cp:coreProperties>
</file>